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6435C32F"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bookmarkStart w:id="0" w:name="_GoBack"/>
      <w:r>
        <w:rPr>
          <w:rFonts w:ascii="Arial" w:hAnsi="Arial" w:cs="Arial"/>
          <w:b/>
          <w:bCs/>
          <w:sz w:val="32"/>
          <w:szCs w:val="32"/>
          <w:lang w:val="en-US"/>
        </w:rPr>
        <w:t>R4-</w:t>
      </w:r>
      <w:r w:rsidR="00153940">
        <w:rPr>
          <w:rFonts w:ascii="Arial" w:hAnsi="Arial" w:cs="Arial"/>
          <w:b/>
          <w:bCs/>
          <w:sz w:val="32"/>
          <w:szCs w:val="32"/>
          <w:lang w:val="en-US"/>
        </w:rPr>
        <w:t>20</w:t>
      </w:r>
      <w:r w:rsidR="0040021B">
        <w:rPr>
          <w:rFonts w:ascii="Arial" w:hAnsi="Arial" w:cs="Arial"/>
          <w:b/>
          <w:bCs/>
          <w:sz w:val="32"/>
          <w:szCs w:val="32"/>
          <w:lang w:val="en-US"/>
        </w:rPr>
        <w:t>03093</w:t>
      </w:r>
      <w:bookmarkEnd w:id="0"/>
    </w:p>
    <w:p w14:paraId="41FB8914" w14:textId="344B4960"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40021B">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39BFC07"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40021B" w:rsidRPr="0040021B">
        <w:rPr>
          <w:rFonts w:ascii="Arial" w:hAnsi="Arial" w:cs="Arial"/>
          <w:sz w:val="24"/>
          <w:lang w:val="en-US" w:eastAsia="zh-CN"/>
        </w:rPr>
        <w:t>Requirements applicability for NR-U</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6E08F8F7"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40021B">
        <w:rPr>
          <w:rFonts w:ascii="Arial" w:hAnsi="Arial" w:cs="Arial"/>
          <w:sz w:val="24"/>
          <w:lang w:val="en-US" w:eastAsia="zh-CN"/>
        </w:rPr>
        <w:t>6.1.5.1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240FAFE5" w:rsidR="00153940" w:rsidRDefault="003152A9" w:rsidP="00153940">
      <w:r>
        <w:t xml:space="preserve">In RAN4#94e, discussions took place related to </w:t>
      </w:r>
      <w:r w:rsidR="0040021B">
        <w:t>how to capture NR-U applicability of requirements</w:t>
      </w:r>
      <w:r>
        <w:t xml:space="preserve">. </w:t>
      </w:r>
      <w:r w:rsidR="007968F6">
        <w:t xml:space="preserve">The corresponding </w:t>
      </w:r>
      <w:r w:rsidR="0040021B">
        <w:t>way forward</w:t>
      </w:r>
      <w:r w:rsidR="0040021B">
        <w:fldChar w:fldCharType="begin"/>
      </w:r>
      <w:r w:rsidR="0040021B">
        <w:instrText xml:space="preserve"> REF _Ref37326348 \r \h </w:instrText>
      </w:r>
      <w:r w:rsidR="0040021B">
        <w:fldChar w:fldCharType="separate"/>
      </w:r>
      <w:r w:rsidR="0040021B">
        <w:t>[1]</w:t>
      </w:r>
      <w:r w:rsidR="0040021B">
        <w:fldChar w:fldCharType="end"/>
      </w:r>
      <w:r w:rsidR="0040021B">
        <w:t xml:space="preserve">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37"/>
      </w:tblGrid>
      <w:tr w:rsidR="00FB44F3" w14:paraId="6E0A0FF0" w14:textId="77777777" w:rsidTr="006279E6">
        <w:tc>
          <w:tcPr>
            <w:tcW w:w="10763" w:type="dxa"/>
            <w:shd w:val="clear" w:color="auto" w:fill="auto"/>
          </w:tcPr>
          <w:p w14:paraId="606D46E7" w14:textId="77777777" w:rsidR="00224C66" w:rsidRDefault="00224C66" w:rsidP="007968F6">
            <w:pPr>
              <w:ind w:left="720"/>
              <w:rPr>
                <w:b/>
                <w:bCs/>
              </w:rPr>
            </w:pPr>
          </w:p>
          <w:p w14:paraId="24132F12" w14:textId="3A8EBC25" w:rsidR="00224C66" w:rsidRDefault="00224C66" w:rsidP="007968F6">
            <w:pPr>
              <w:ind w:left="720"/>
              <w:rPr>
                <w:b/>
                <w:bCs/>
              </w:rPr>
            </w:pPr>
            <w:r w:rsidRPr="00224C66">
              <w:rPr>
                <w:b/>
                <w:bCs/>
              </w:rPr>
              <w:t>WF on NR-U RRM Requirements (Part 1)</w:t>
            </w:r>
          </w:p>
          <w:p w14:paraId="10D4BA0D" w14:textId="42800D4D" w:rsidR="00224C66" w:rsidRDefault="00224C66" w:rsidP="007968F6">
            <w:pPr>
              <w:ind w:left="720"/>
              <w:rPr>
                <w:b/>
                <w:bCs/>
              </w:rPr>
            </w:pPr>
            <w:r>
              <w:rPr>
                <w:b/>
                <w:bCs/>
              </w:rPr>
              <w:t>General applicability rules</w:t>
            </w:r>
          </w:p>
          <w:p w14:paraId="7BB94C28" w14:textId="77777777" w:rsidR="00224C66" w:rsidRPr="00224C66" w:rsidRDefault="00224C66" w:rsidP="00224C66">
            <w:pPr>
              <w:ind w:left="720"/>
            </w:pPr>
            <w:r w:rsidRPr="00224C66">
              <w:t>Further discuss:</w:t>
            </w:r>
          </w:p>
          <w:p w14:paraId="0EAB8DA0" w14:textId="77777777" w:rsidR="00224C66" w:rsidRPr="00224C66" w:rsidRDefault="00224C66" w:rsidP="00224C66">
            <w:pPr>
              <w:ind w:left="720"/>
            </w:pPr>
            <w:r w:rsidRPr="00224C66">
              <w:t>Option 1: include applicability section</w:t>
            </w:r>
          </w:p>
          <w:p w14:paraId="6664E699" w14:textId="77777777" w:rsidR="00224C66" w:rsidRPr="00224C66" w:rsidRDefault="00224C66" w:rsidP="00224C66">
            <w:pPr>
              <w:ind w:left="720"/>
            </w:pPr>
            <w:r w:rsidRPr="00224C66">
              <w:t>Option 2a: no applicability section, assume all sections by default applicable for NR-U</w:t>
            </w:r>
          </w:p>
          <w:p w14:paraId="47EF739E" w14:textId="77777777" w:rsidR="00224C66" w:rsidRPr="00224C66" w:rsidRDefault="00224C66" w:rsidP="00224C66">
            <w:pPr>
              <w:ind w:left="720"/>
            </w:pPr>
            <w:r w:rsidRPr="00224C66">
              <w:t>Address questions Q1, Q2</w:t>
            </w:r>
          </w:p>
          <w:p w14:paraId="48334DCA" w14:textId="77777777" w:rsidR="00224C66" w:rsidRPr="00224C66" w:rsidRDefault="00224C66" w:rsidP="00224C66">
            <w:pPr>
              <w:ind w:left="720"/>
            </w:pPr>
            <w:r w:rsidRPr="00224C66">
              <w:t xml:space="preserve">Option 2b: no applicability section, exclude the applicability to NR-U by default, unless explicitly stated and: </w:t>
            </w:r>
          </w:p>
          <w:p w14:paraId="733C0C9B" w14:textId="77777777" w:rsidR="00224C66" w:rsidRPr="00224C66" w:rsidRDefault="00224C66" w:rsidP="00224C66">
            <w:pPr>
              <w:ind w:left="720"/>
            </w:pPr>
            <w:r w:rsidRPr="00224C66">
              <w:t>the meaning of “for NR-U”/”to NR-U” is clearly defined, e.g. NR-U serving cell, NR-U neighbour cell, relevance for different NR-U scenarios A-C etc.</w:t>
            </w:r>
          </w:p>
          <w:p w14:paraId="61BC886C" w14:textId="77777777" w:rsidR="00224C66" w:rsidRPr="00224C66" w:rsidRDefault="00224C66" w:rsidP="00224C66">
            <w:pPr>
              <w:ind w:left="720"/>
            </w:pPr>
            <w:r w:rsidRPr="00224C66">
              <w:t>Address question Q1</w:t>
            </w:r>
          </w:p>
          <w:p w14:paraId="18CA89A7" w14:textId="77777777" w:rsidR="00224C66" w:rsidRPr="00224C66" w:rsidRDefault="00224C66" w:rsidP="00224C66">
            <w:pPr>
              <w:ind w:left="720"/>
            </w:pPr>
            <w:r w:rsidRPr="00224C66">
              <w:t>Questions to answer:</w:t>
            </w:r>
          </w:p>
          <w:p w14:paraId="2D0F8D28" w14:textId="77777777" w:rsidR="00224C66" w:rsidRPr="00224C66" w:rsidRDefault="00224C66" w:rsidP="00224C66">
            <w:pPr>
              <w:ind w:left="720"/>
            </w:pPr>
            <w:r w:rsidRPr="00224C66">
              <w:t>Q1: How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p w14:paraId="79488458" w14:textId="48A707EE" w:rsidR="00FB44F3" w:rsidRDefault="00224C66" w:rsidP="00224C66">
            <w:pPr>
              <w:ind w:left="720"/>
            </w:pPr>
            <w:r w:rsidRPr="00224C66">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tc>
      </w:tr>
    </w:tbl>
    <w:p w14:paraId="27C4E725" w14:textId="55AE9923" w:rsidR="007968F6" w:rsidRDefault="007968F6" w:rsidP="00153940"/>
    <w:p w14:paraId="58FCE31C" w14:textId="77777777" w:rsidR="00DF5ACD" w:rsidRPr="00153940" w:rsidRDefault="00DF5ACD" w:rsidP="00153940"/>
    <w:p w14:paraId="1C16951B" w14:textId="39D01050" w:rsidR="00A97180" w:rsidRPr="00224C66" w:rsidRDefault="00902595" w:rsidP="00A97180">
      <w:pPr>
        <w:pStyle w:val="Heading1"/>
        <w:jc w:val="both"/>
        <w:rPr>
          <w:rFonts w:eastAsia="SimSun"/>
          <w:lang w:val="en-US" w:eastAsia="zh-CN"/>
        </w:rPr>
      </w:pPr>
      <w:r>
        <w:rPr>
          <w:rFonts w:eastAsia="SimSun"/>
          <w:lang w:val="en-US" w:eastAsia="zh-CN"/>
        </w:rPr>
        <w:t>Discussion</w:t>
      </w:r>
    </w:p>
    <w:p w14:paraId="50C787C0" w14:textId="703E7446" w:rsidR="00A97180" w:rsidRPr="00C361DB" w:rsidRDefault="00224C66" w:rsidP="00A97180">
      <w:pPr>
        <w:rPr>
          <w:lang w:val="en-US" w:eastAsia="zh-CN"/>
        </w:rPr>
      </w:pPr>
      <w:r>
        <w:rPr>
          <w:lang w:val="en-US" w:eastAsia="zh-CN"/>
        </w:rPr>
        <w:t xml:space="preserve">To discuss a concrete example, we </w:t>
      </w:r>
      <w:r w:rsidR="0040021B">
        <w:rPr>
          <w:lang w:val="en-US" w:eastAsia="zh-CN"/>
        </w:rPr>
        <w:t>discuss</w:t>
      </w:r>
      <w:r>
        <w:rPr>
          <w:lang w:val="en-US" w:eastAsia="zh-CN"/>
        </w:rPr>
        <w:t xml:space="preserve"> the requirements applicability in idle mode, based on the approved specification. structure </w:t>
      </w:r>
      <w:r>
        <w:rPr>
          <w:lang w:val="en-US" w:eastAsia="zh-CN"/>
        </w:rPr>
        <w:fldChar w:fldCharType="begin"/>
      </w:r>
      <w:r>
        <w:rPr>
          <w:lang w:val="en-US" w:eastAsia="zh-CN"/>
        </w:rPr>
        <w:instrText xml:space="preserve"> REF _Ref36560016 \r \h </w:instrText>
      </w:r>
      <w:r>
        <w:rPr>
          <w:lang w:val="en-US" w:eastAsia="zh-CN"/>
        </w:rPr>
      </w:r>
      <w:r>
        <w:rPr>
          <w:lang w:val="en-US" w:eastAsia="zh-CN"/>
        </w:rPr>
        <w:fldChar w:fldCharType="separate"/>
      </w:r>
      <w:r>
        <w:rPr>
          <w:lang w:val="en-US" w:eastAsia="zh-CN"/>
        </w:rPr>
        <w:t>[2]</w:t>
      </w:r>
      <w:r>
        <w:rPr>
          <w:lang w:val="en-US" w:eastAsia="zh-CN"/>
        </w:rPr>
        <w:fldChar w:fldCharType="end"/>
      </w:r>
      <w:r>
        <w:rPr>
          <w:lang w:val="en-US" w:eastAsia="zh-CN"/>
        </w:rPr>
        <w:t>. We consider both 4.2.2.x (which could be referred to as “non NR-U requirements” but as we will see some requirements in these section still apply when a UE is operating with SA NR-U in idle mode” and 4.2A.2.x requirements (</w:t>
      </w:r>
      <w:r w:rsidR="00C361DB">
        <w:rPr>
          <w:lang w:val="en-US" w:eastAsia="zh-CN"/>
        </w:rPr>
        <w:t xml:space="preserve">which could be referred to as “NR-U” requirements but as we will see some of these requirements apply when a UE is operating </w:t>
      </w:r>
      <w:r w:rsidR="00C361DB" w:rsidRPr="00C361DB">
        <w:rPr>
          <w:u w:val="single"/>
          <w:lang w:val="en-US" w:eastAsia="zh-CN"/>
        </w:rPr>
        <w:t>without</w:t>
      </w:r>
      <w:r w:rsidR="00C361DB">
        <w:rPr>
          <w:u w:val="single"/>
          <w:lang w:val="en-US" w:eastAsia="zh-CN"/>
        </w:rPr>
        <w:t xml:space="preserve"> </w:t>
      </w:r>
      <w:r w:rsidR="00C361DB">
        <w:rPr>
          <w:lang w:val="en-US" w:eastAsia="zh-CN"/>
        </w:rPr>
        <w:t>NR-U if it also supports NR-U SA operation).</w:t>
      </w:r>
    </w:p>
    <w:p w14:paraId="5DD74BDB" w14:textId="77777777" w:rsidR="00224C66" w:rsidRDefault="00224C66" w:rsidP="00A97180">
      <w:pPr>
        <w:rPr>
          <w:lang w:val="en-US" w:eastAsia="zh-CN"/>
        </w:rPr>
      </w:pPr>
    </w:p>
    <w:tbl>
      <w:tblPr>
        <w:tblStyle w:val="TableGrid"/>
        <w:tblW w:w="0" w:type="auto"/>
        <w:tblLook w:val="04A0" w:firstRow="1" w:lastRow="0" w:firstColumn="1" w:lastColumn="0" w:noHBand="0" w:noVBand="1"/>
      </w:tblPr>
      <w:tblGrid>
        <w:gridCol w:w="911"/>
        <w:gridCol w:w="3650"/>
        <w:gridCol w:w="5976"/>
      </w:tblGrid>
      <w:tr w:rsidR="00C361DB" w14:paraId="08D699B4" w14:textId="77777777" w:rsidTr="00C361DB">
        <w:tc>
          <w:tcPr>
            <w:tcW w:w="911" w:type="dxa"/>
          </w:tcPr>
          <w:p w14:paraId="4504040C" w14:textId="028E0088" w:rsidR="00C361DB" w:rsidRPr="00C361DB" w:rsidRDefault="00C361DB" w:rsidP="00224C66">
            <w:pPr>
              <w:rPr>
                <w:b/>
                <w:bCs/>
                <w:lang w:eastAsia="zh-CN"/>
              </w:rPr>
            </w:pPr>
            <w:r w:rsidRPr="00C361DB">
              <w:rPr>
                <w:b/>
                <w:bCs/>
                <w:lang w:eastAsia="zh-CN"/>
              </w:rPr>
              <w:lastRenderedPageBreak/>
              <w:t>Section</w:t>
            </w:r>
          </w:p>
        </w:tc>
        <w:tc>
          <w:tcPr>
            <w:tcW w:w="3733" w:type="dxa"/>
          </w:tcPr>
          <w:p w14:paraId="461C1A59" w14:textId="34169FDE" w:rsidR="00C361DB" w:rsidRPr="00C361DB" w:rsidRDefault="00C361DB" w:rsidP="00224C66">
            <w:pPr>
              <w:rPr>
                <w:b/>
                <w:bCs/>
                <w:lang w:eastAsia="zh-CN"/>
              </w:rPr>
            </w:pPr>
            <w:r w:rsidRPr="00C361DB">
              <w:rPr>
                <w:b/>
                <w:bCs/>
                <w:lang w:eastAsia="zh-CN"/>
              </w:rPr>
              <w:t>Title</w:t>
            </w:r>
          </w:p>
        </w:tc>
        <w:tc>
          <w:tcPr>
            <w:tcW w:w="6119" w:type="dxa"/>
          </w:tcPr>
          <w:p w14:paraId="3F2BA7F1" w14:textId="0C3319F3" w:rsidR="00C361DB" w:rsidRPr="00C361DB" w:rsidRDefault="00C361DB" w:rsidP="00224C66">
            <w:pPr>
              <w:rPr>
                <w:b/>
                <w:bCs/>
                <w:lang w:val="en-US" w:eastAsia="zh-CN"/>
              </w:rPr>
            </w:pPr>
            <w:r w:rsidRPr="00C361DB">
              <w:rPr>
                <w:b/>
                <w:bCs/>
                <w:lang w:val="en-US" w:eastAsia="zh-CN"/>
              </w:rPr>
              <w:t>Notes</w:t>
            </w:r>
          </w:p>
        </w:tc>
      </w:tr>
      <w:tr w:rsidR="00224C66" w14:paraId="41D69A8B" w14:textId="77777777" w:rsidTr="00C361DB">
        <w:tc>
          <w:tcPr>
            <w:tcW w:w="911" w:type="dxa"/>
          </w:tcPr>
          <w:p w14:paraId="6361BD4E" w14:textId="7109BFF8" w:rsidR="00224C66" w:rsidRPr="00C361DB" w:rsidRDefault="00224C66" w:rsidP="00224C66">
            <w:pPr>
              <w:rPr>
                <w:lang w:val="en-US" w:eastAsia="zh-CN"/>
              </w:rPr>
            </w:pPr>
            <w:r w:rsidRPr="00C361DB">
              <w:rPr>
                <w:lang w:eastAsia="zh-CN"/>
              </w:rPr>
              <w:t>4.2.2.1</w:t>
            </w:r>
          </w:p>
        </w:tc>
        <w:tc>
          <w:tcPr>
            <w:tcW w:w="3733" w:type="dxa"/>
          </w:tcPr>
          <w:p w14:paraId="37A84622" w14:textId="1E168CC6" w:rsidR="00224C66" w:rsidRPr="00C361DB" w:rsidRDefault="00224C66" w:rsidP="00224C66">
            <w:pPr>
              <w:rPr>
                <w:lang w:val="en-US" w:eastAsia="zh-CN"/>
              </w:rPr>
            </w:pPr>
            <w:r w:rsidRPr="00C361DB">
              <w:rPr>
                <w:lang w:eastAsia="zh-CN"/>
              </w:rPr>
              <w:t>UE measurement capability</w:t>
            </w:r>
          </w:p>
        </w:tc>
        <w:tc>
          <w:tcPr>
            <w:tcW w:w="6119" w:type="dxa"/>
          </w:tcPr>
          <w:p w14:paraId="4D97564D" w14:textId="3612656E" w:rsidR="00224C66" w:rsidRDefault="00C361DB" w:rsidP="00224C66">
            <w:pPr>
              <w:rPr>
                <w:lang w:val="en-US" w:eastAsia="zh-CN"/>
              </w:rPr>
            </w:pPr>
            <w:r>
              <w:rPr>
                <w:lang w:val="en-US" w:eastAsia="zh-CN"/>
              </w:rPr>
              <w:t>Strictly, this section applies when the UE is not configured with a serving cell operating with CCA, however it is agreed that the equivalent 4.2A.2.1 section will just be a reference to this section.</w:t>
            </w:r>
          </w:p>
        </w:tc>
      </w:tr>
      <w:tr w:rsidR="00224C66" w14:paraId="5AB77ECB" w14:textId="77777777" w:rsidTr="00C361DB">
        <w:tc>
          <w:tcPr>
            <w:tcW w:w="911" w:type="dxa"/>
          </w:tcPr>
          <w:p w14:paraId="60F3A6C7" w14:textId="62234F2F" w:rsidR="00224C66" w:rsidRPr="00C361DB" w:rsidRDefault="00224C66" w:rsidP="00224C66">
            <w:pPr>
              <w:rPr>
                <w:lang w:val="en-US" w:eastAsia="zh-CN"/>
              </w:rPr>
            </w:pPr>
            <w:r w:rsidRPr="00C361DB">
              <w:rPr>
                <w:lang w:eastAsia="zh-CN"/>
              </w:rPr>
              <w:t>4.2.2.2</w:t>
            </w:r>
          </w:p>
        </w:tc>
        <w:tc>
          <w:tcPr>
            <w:tcW w:w="3733" w:type="dxa"/>
          </w:tcPr>
          <w:p w14:paraId="7E5209CA" w14:textId="7FA1B44F" w:rsidR="00224C66" w:rsidRPr="00C361DB" w:rsidRDefault="00224C66" w:rsidP="00224C66">
            <w:pPr>
              <w:rPr>
                <w:lang w:val="en-US" w:eastAsia="zh-CN"/>
              </w:rPr>
            </w:pPr>
            <w:r w:rsidRPr="00C361DB">
              <w:rPr>
                <w:lang w:eastAsia="zh-CN"/>
              </w:rPr>
              <w:t>Measurement and evaluation of serving cell</w:t>
            </w:r>
          </w:p>
        </w:tc>
        <w:tc>
          <w:tcPr>
            <w:tcW w:w="6119" w:type="dxa"/>
          </w:tcPr>
          <w:p w14:paraId="2C4E80FF" w14:textId="1CAF11FB" w:rsidR="00224C66" w:rsidRDefault="00C361DB" w:rsidP="00224C66">
            <w:pPr>
              <w:rPr>
                <w:lang w:val="en-US" w:eastAsia="zh-CN"/>
              </w:rPr>
            </w:pPr>
            <w:r>
              <w:rPr>
                <w:lang w:val="en-US" w:eastAsia="zh-CN"/>
              </w:rPr>
              <w:t>By definition, this section applies when the UE is not configured with serving cell operating with CCA.</w:t>
            </w:r>
          </w:p>
        </w:tc>
      </w:tr>
      <w:tr w:rsidR="00224C66" w14:paraId="2B4BCD38" w14:textId="77777777" w:rsidTr="00C361DB">
        <w:tc>
          <w:tcPr>
            <w:tcW w:w="911" w:type="dxa"/>
          </w:tcPr>
          <w:p w14:paraId="4C880883" w14:textId="50758940" w:rsidR="00224C66" w:rsidRPr="00C361DB" w:rsidRDefault="00224C66" w:rsidP="00224C66">
            <w:pPr>
              <w:rPr>
                <w:lang w:val="en-US" w:eastAsia="zh-CN"/>
              </w:rPr>
            </w:pPr>
            <w:r w:rsidRPr="00C361DB">
              <w:rPr>
                <w:lang w:eastAsia="zh-CN"/>
              </w:rPr>
              <w:t xml:space="preserve">4.2.2.3 </w:t>
            </w:r>
          </w:p>
        </w:tc>
        <w:tc>
          <w:tcPr>
            <w:tcW w:w="3733" w:type="dxa"/>
          </w:tcPr>
          <w:p w14:paraId="19BB7078" w14:textId="481F4620" w:rsidR="00224C66" w:rsidRPr="00C361DB" w:rsidRDefault="00224C66" w:rsidP="00224C66">
            <w:pPr>
              <w:rPr>
                <w:lang w:val="en-US" w:eastAsia="zh-CN"/>
              </w:rPr>
            </w:pPr>
            <w:r w:rsidRPr="00C361DB">
              <w:rPr>
                <w:lang w:eastAsia="zh-CN"/>
              </w:rPr>
              <w:t>Measurements of intra-frequency NR cells</w:t>
            </w:r>
          </w:p>
        </w:tc>
        <w:tc>
          <w:tcPr>
            <w:tcW w:w="6119" w:type="dxa"/>
          </w:tcPr>
          <w:p w14:paraId="46D66E21" w14:textId="19F5B85B" w:rsidR="00224C66" w:rsidRDefault="00C361DB" w:rsidP="00224C66">
            <w:pPr>
              <w:rPr>
                <w:lang w:val="en-US" w:eastAsia="zh-CN"/>
              </w:rPr>
            </w:pPr>
            <w:r>
              <w:rPr>
                <w:lang w:val="en-US" w:eastAsia="zh-CN"/>
              </w:rPr>
              <w:t>Since these requirements are for intrafrequuency operation, this section applies when the UE is not configured with a serving cell operating with CCA</w:t>
            </w:r>
            <w:r w:rsidR="00B06A50">
              <w:rPr>
                <w:lang w:val="en-US" w:eastAsia="zh-CN"/>
              </w:rPr>
              <w:t xml:space="preserve"> and this also implies that intra-frequency cells must have no CCA</w:t>
            </w:r>
            <w:r>
              <w:rPr>
                <w:lang w:val="en-US" w:eastAsia="zh-CN"/>
              </w:rPr>
              <w:t>.</w:t>
            </w:r>
          </w:p>
        </w:tc>
      </w:tr>
      <w:tr w:rsidR="00224C66" w14:paraId="6829B8DC" w14:textId="77777777" w:rsidTr="00C361DB">
        <w:tc>
          <w:tcPr>
            <w:tcW w:w="911" w:type="dxa"/>
          </w:tcPr>
          <w:p w14:paraId="160CA008" w14:textId="3C8834CC" w:rsidR="00224C66" w:rsidRPr="00C361DB" w:rsidRDefault="00224C66" w:rsidP="00224C66">
            <w:pPr>
              <w:rPr>
                <w:lang w:val="en-US" w:eastAsia="zh-CN"/>
              </w:rPr>
            </w:pPr>
            <w:r w:rsidRPr="00C361DB">
              <w:rPr>
                <w:lang w:eastAsia="zh-CN"/>
              </w:rPr>
              <w:t>4.2.2.4</w:t>
            </w:r>
          </w:p>
        </w:tc>
        <w:tc>
          <w:tcPr>
            <w:tcW w:w="3733" w:type="dxa"/>
          </w:tcPr>
          <w:p w14:paraId="7D641FB4" w14:textId="505E4382" w:rsidR="00224C66" w:rsidRPr="00C361DB" w:rsidRDefault="00224C66" w:rsidP="00224C66">
            <w:pPr>
              <w:rPr>
                <w:lang w:val="en-US" w:eastAsia="zh-CN"/>
              </w:rPr>
            </w:pPr>
            <w:r w:rsidRPr="00C361DB">
              <w:rPr>
                <w:lang w:eastAsia="zh-CN"/>
              </w:rPr>
              <w:t>Measurements of inter-frequency NR cells</w:t>
            </w:r>
          </w:p>
        </w:tc>
        <w:tc>
          <w:tcPr>
            <w:tcW w:w="6119" w:type="dxa"/>
          </w:tcPr>
          <w:p w14:paraId="5639C5F9" w14:textId="77777777" w:rsidR="00224C66" w:rsidRDefault="00C361DB" w:rsidP="00224C66">
            <w:pPr>
              <w:rPr>
                <w:lang w:val="en-US" w:eastAsia="zh-CN"/>
              </w:rPr>
            </w:pPr>
            <w:r>
              <w:rPr>
                <w:lang w:val="en-US" w:eastAsia="zh-CN"/>
              </w:rPr>
              <w:t>This section has requirements for idle measurements when the inter-frequency target cell is not operating with CCA. It can apply in two different cases</w:t>
            </w:r>
          </w:p>
          <w:p w14:paraId="0B0E9303" w14:textId="77777777" w:rsidR="00C361DB" w:rsidRDefault="00C361DB" w:rsidP="00E333DE">
            <w:pPr>
              <w:numPr>
                <w:ilvl w:val="0"/>
                <w:numId w:val="6"/>
              </w:numPr>
              <w:rPr>
                <w:lang w:val="en-US" w:eastAsia="zh-CN"/>
              </w:rPr>
            </w:pPr>
            <w:r>
              <w:rPr>
                <w:lang w:val="en-US" w:eastAsia="zh-CN"/>
              </w:rPr>
              <w:t>When the UE operates with a non CCA serving cell and measures non CCA interfrequency neighbours</w:t>
            </w:r>
          </w:p>
          <w:p w14:paraId="05214391" w14:textId="2CE79636" w:rsidR="00C361DB" w:rsidRPr="00C361DB" w:rsidRDefault="00C361DB" w:rsidP="00E333DE">
            <w:pPr>
              <w:numPr>
                <w:ilvl w:val="0"/>
                <w:numId w:val="6"/>
              </w:numPr>
              <w:rPr>
                <w:lang w:val="en-US" w:eastAsia="zh-CN"/>
              </w:rPr>
            </w:pPr>
            <w:r>
              <w:rPr>
                <w:lang w:val="en-US" w:eastAsia="zh-CN"/>
              </w:rPr>
              <w:t>When the UE operates with a CCA serving cell and measures non CCA interfrequency neighbours</w:t>
            </w:r>
          </w:p>
        </w:tc>
      </w:tr>
      <w:tr w:rsidR="00224C66" w14:paraId="1A16FC06" w14:textId="77777777" w:rsidTr="00C361DB">
        <w:tc>
          <w:tcPr>
            <w:tcW w:w="911" w:type="dxa"/>
          </w:tcPr>
          <w:p w14:paraId="23A5D00D" w14:textId="04837C35" w:rsidR="00224C66" w:rsidRPr="00C361DB" w:rsidRDefault="00224C66" w:rsidP="00224C66">
            <w:pPr>
              <w:rPr>
                <w:lang w:val="en-US" w:eastAsia="zh-CN"/>
              </w:rPr>
            </w:pPr>
            <w:r w:rsidRPr="00C361DB">
              <w:rPr>
                <w:lang w:eastAsia="zh-CN"/>
              </w:rPr>
              <w:t>4.2.2.5</w:t>
            </w:r>
          </w:p>
        </w:tc>
        <w:tc>
          <w:tcPr>
            <w:tcW w:w="3733" w:type="dxa"/>
          </w:tcPr>
          <w:p w14:paraId="2B2B4D6E" w14:textId="4340B0A8" w:rsidR="00224C66" w:rsidRPr="00C361DB" w:rsidRDefault="00224C66" w:rsidP="00224C66">
            <w:pPr>
              <w:rPr>
                <w:lang w:val="en-US" w:eastAsia="zh-CN"/>
              </w:rPr>
            </w:pPr>
            <w:r w:rsidRPr="00C361DB">
              <w:rPr>
                <w:lang w:eastAsia="zh-CN"/>
              </w:rPr>
              <w:t xml:space="preserve">Measurements of inter-RAT E-UTRAN cells </w:t>
            </w:r>
          </w:p>
        </w:tc>
        <w:tc>
          <w:tcPr>
            <w:tcW w:w="6119" w:type="dxa"/>
          </w:tcPr>
          <w:p w14:paraId="07CECDE7" w14:textId="3FB1B9FB" w:rsidR="005642C6" w:rsidRDefault="005642C6" w:rsidP="005642C6">
            <w:pPr>
              <w:rPr>
                <w:lang w:val="en-US" w:eastAsia="zh-CN"/>
              </w:rPr>
            </w:pPr>
            <w:r>
              <w:rPr>
                <w:lang w:val="en-US" w:eastAsia="zh-CN"/>
              </w:rPr>
              <w:t>This section has requirements for idle interRAT measurements It can apply in two different cases</w:t>
            </w:r>
          </w:p>
          <w:p w14:paraId="23BDC5E6" w14:textId="1BDAD100" w:rsidR="005642C6" w:rsidRDefault="005642C6" w:rsidP="00E333DE">
            <w:pPr>
              <w:numPr>
                <w:ilvl w:val="0"/>
                <w:numId w:val="6"/>
              </w:numPr>
              <w:rPr>
                <w:lang w:val="en-US" w:eastAsia="zh-CN"/>
              </w:rPr>
            </w:pPr>
            <w:r>
              <w:rPr>
                <w:lang w:val="en-US" w:eastAsia="zh-CN"/>
              </w:rPr>
              <w:t>When the UE operates with a non CCA serving cell and measures interRAT neighbours</w:t>
            </w:r>
          </w:p>
          <w:p w14:paraId="37462C1C" w14:textId="34BE798A" w:rsidR="00224C66" w:rsidRDefault="005642C6" w:rsidP="00E333DE">
            <w:pPr>
              <w:numPr>
                <w:ilvl w:val="0"/>
                <w:numId w:val="6"/>
              </w:numPr>
              <w:rPr>
                <w:lang w:val="en-US" w:eastAsia="zh-CN"/>
              </w:rPr>
            </w:pPr>
            <w:r>
              <w:rPr>
                <w:lang w:val="en-US" w:eastAsia="zh-CN"/>
              </w:rPr>
              <w:t>When the UE operates with a CCA serving cell and measures CCA interRAT neighbours</w:t>
            </w:r>
          </w:p>
        </w:tc>
      </w:tr>
      <w:tr w:rsidR="00224C66" w14:paraId="56B7530D" w14:textId="77777777" w:rsidTr="00C361DB">
        <w:tc>
          <w:tcPr>
            <w:tcW w:w="911" w:type="dxa"/>
          </w:tcPr>
          <w:p w14:paraId="7ECF4173" w14:textId="6AAEB99E" w:rsidR="00224C66" w:rsidRPr="00C361DB" w:rsidRDefault="00224C66" w:rsidP="00224C66">
            <w:pPr>
              <w:rPr>
                <w:lang w:val="en-US" w:eastAsia="zh-CN"/>
              </w:rPr>
            </w:pPr>
            <w:r w:rsidRPr="00C361DB">
              <w:rPr>
                <w:lang w:eastAsia="zh-CN"/>
              </w:rPr>
              <w:t>4.2.2.6</w:t>
            </w:r>
          </w:p>
        </w:tc>
        <w:tc>
          <w:tcPr>
            <w:tcW w:w="3733" w:type="dxa"/>
          </w:tcPr>
          <w:p w14:paraId="700EDFB8" w14:textId="4C13C7DA" w:rsidR="00224C66" w:rsidRPr="00C361DB" w:rsidRDefault="00224C66" w:rsidP="00224C66">
            <w:pPr>
              <w:rPr>
                <w:lang w:val="en-US" w:eastAsia="zh-CN"/>
              </w:rPr>
            </w:pPr>
            <w:r w:rsidRPr="00C361DB">
              <w:rPr>
                <w:lang w:eastAsia="zh-CN"/>
              </w:rPr>
              <w:t xml:space="preserve">Maximum interruption in paging reception </w:t>
            </w:r>
          </w:p>
        </w:tc>
        <w:tc>
          <w:tcPr>
            <w:tcW w:w="6119" w:type="dxa"/>
          </w:tcPr>
          <w:p w14:paraId="05A99B4C" w14:textId="13F29784" w:rsidR="00224C66" w:rsidRPr="005642C6" w:rsidRDefault="005642C6" w:rsidP="005642C6">
            <w:pPr>
              <w:pStyle w:val="3GPPNormalText"/>
              <w:ind w:firstLine="284"/>
              <w:rPr>
                <w:rFonts w:cs="Times New Roman"/>
                <w:szCs w:val="20"/>
                <w:highlight w:val="cyan"/>
                <w:lang w:eastAsia="zh-CN"/>
              </w:rPr>
            </w:pPr>
            <w:r>
              <w:rPr>
                <w:rFonts w:cs="Times New Roman"/>
                <w:szCs w:val="20"/>
                <w:lang w:eastAsia="zh-CN"/>
              </w:rPr>
              <w:t>T</w:t>
            </w:r>
            <w:r w:rsidRPr="00A665D8">
              <w:rPr>
                <w:rFonts w:cs="Times New Roman"/>
                <w:szCs w:val="20"/>
                <w:lang w:eastAsia="zh-CN"/>
              </w:rPr>
              <w:t>he requirements apply when the cell for which SI is being received is on a carrier frequency with no CCA, regardless of whether the camping cell is on a carrier frequency</w:t>
            </w:r>
            <w:r>
              <w:rPr>
                <w:rFonts w:cs="Times New Roman"/>
                <w:szCs w:val="20"/>
                <w:lang w:eastAsia="zh-CN"/>
              </w:rPr>
              <w:t xml:space="preserve"> with CCA</w:t>
            </w:r>
          </w:p>
        </w:tc>
      </w:tr>
      <w:tr w:rsidR="00224C66" w14:paraId="004BD0F0" w14:textId="77777777" w:rsidTr="00C361DB">
        <w:tc>
          <w:tcPr>
            <w:tcW w:w="911" w:type="dxa"/>
          </w:tcPr>
          <w:p w14:paraId="51FA0C83" w14:textId="4868D61E" w:rsidR="00224C66" w:rsidRPr="00C361DB" w:rsidRDefault="00224C66" w:rsidP="00224C66">
            <w:pPr>
              <w:rPr>
                <w:lang w:val="en-US" w:eastAsia="zh-CN"/>
              </w:rPr>
            </w:pPr>
            <w:r w:rsidRPr="00C361DB">
              <w:rPr>
                <w:lang w:eastAsia="zh-CN"/>
              </w:rPr>
              <w:t>4.2.2.7</w:t>
            </w:r>
          </w:p>
        </w:tc>
        <w:tc>
          <w:tcPr>
            <w:tcW w:w="3733" w:type="dxa"/>
          </w:tcPr>
          <w:p w14:paraId="00BEE1EC" w14:textId="78EB184F" w:rsidR="00224C66" w:rsidRPr="00C361DB" w:rsidRDefault="00224C66" w:rsidP="00224C66">
            <w:pPr>
              <w:rPr>
                <w:lang w:val="en-US" w:eastAsia="zh-CN"/>
              </w:rPr>
            </w:pPr>
            <w:r w:rsidRPr="00C361DB">
              <w:rPr>
                <w:lang w:eastAsia="zh-CN"/>
              </w:rPr>
              <w:t>General requirements</w:t>
            </w:r>
          </w:p>
        </w:tc>
        <w:tc>
          <w:tcPr>
            <w:tcW w:w="6119" w:type="dxa"/>
          </w:tcPr>
          <w:p w14:paraId="35EDD687" w14:textId="73A1B54F" w:rsidR="00224C66" w:rsidRDefault="005642C6" w:rsidP="00224C66">
            <w:pPr>
              <w:rPr>
                <w:lang w:val="en-US" w:eastAsia="zh-CN"/>
              </w:rPr>
            </w:pPr>
            <w:r>
              <w:rPr>
                <w:lang w:val="en-US" w:eastAsia="zh-CN"/>
              </w:rPr>
              <w:t>This section applies when the UE is not configured with a serving cell operating with CCA</w:t>
            </w:r>
            <w:r w:rsidR="00337B68">
              <w:rPr>
                <w:lang w:val="en-US" w:eastAsia="zh-CN"/>
              </w:rPr>
              <w:t xml:space="preserve"> Both CCA and non CCA frequencies could have higher absolute priority</w:t>
            </w:r>
          </w:p>
        </w:tc>
      </w:tr>
      <w:tr w:rsidR="00C361DB" w14:paraId="2BC25DCE" w14:textId="77777777" w:rsidTr="00C361DB">
        <w:tc>
          <w:tcPr>
            <w:tcW w:w="911" w:type="dxa"/>
          </w:tcPr>
          <w:p w14:paraId="779B4899" w14:textId="161C1990" w:rsidR="00C361DB" w:rsidRPr="00C361DB" w:rsidRDefault="00C361DB" w:rsidP="00C361DB">
            <w:pPr>
              <w:rPr>
                <w:lang w:val="en-US" w:eastAsia="zh-CN"/>
              </w:rPr>
            </w:pPr>
            <w:r w:rsidRPr="00C361DB">
              <w:rPr>
                <w:lang w:eastAsia="zh-CN"/>
              </w:rPr>
              <w:t>4.2A.2.1</w:t>
            </w:r>
          </w:p>
        </w:tc>
        <w:tc>
          <w:tcPr>
            <w:tcW w:w="3733" w:type="dxa"/>
          </w:tcPr>
          <w:p w14:paraId="1B3D0561" w14:textId="4F0D67CD" w:rsidR="00C361DB" w:rsidRPr="00C361DB" w:rsidRDefault="00C361DB" w:rsidP="00C361DB">
            <w:pPr>
              <w:rPr>
                <w:lang w:val="en-US" w:eastAsia="zh-CN"/>
              </w:rPr>
            </w:pPr>
            <w:r w:rsidRPr="00C361DB">
              <w:rPr>
                <w:lang w:eastAsia="zh-CN"/>
              </w:rPr>
              <w:t>UE measurement capability (note: section should just be a reference to 4.2.2.1)</w:t>
            </w:r>
          </w:p>
        </w:tc>
        <w:tc>
          <w:tcPr>
            <w:tcW w:w="6119" w:type="dxa"/>
          </w:tcPr>
          <w:p w14:paraId="0F041C67" w14:textId="60EFA492" w:rsidR="00C361DB" w:rsidRDefault="005642C6" w:rsidP="00C361DB">
            <w:pPr>
              <w:rPr>
                <w:lang w:val="en-US" w:eastAsia="zh-CN"/>
              </w:rPr>
            </w:pPr>
            <w:r>
              <w:rPr>
                <w:lang w:val="en-US" w:eastAsia="zh-CN"/>
              </w:rPr>
              <w:t>Strictly, this section applies when the UE is configured with a serving cell operating with CCA, however it is agreed that the 4.2A.2.1 section will just be a reference to 4.2.2.1 section</w:t>
            </w:r>
          </w:p>
        </w:tc>
      </w:tr>
      <w:tr w:rsidR="005642C6" w14:paraId="4EAB6BAC" w14:textId="77777777" w:rsidTr="00C361DB">
        <w:tc>
          <w:tcPr>
            <w:tcW w:w="911" w:type="dxa"/>
          </w:tcPr>
          <w:p w14:paraId="472E00DB" w14:textId="14BBD622" w:rsidR="005642C6" w:rsidRPr="00C361DB" w:rsidRDefault="005642C6" w:rsidP="005642C6">
            <w:pPr>
              <w:rPr>
                <w:lang w:eastAsia="zh-CN"/>
              </w:rPr>
            </w:pPr>
            <w:r w:rsidRPr="00C361DB">
              <w:rPr>
                <w:lang w:eastAsia="zh-CN"/>
              </w:rPr>
              <w:t>4.2A.2.2</w:t>
            </w:r>
          </w:p>
        </w:tc>
        <w:tc>
          <w:tcPr>
            <w:tcW w:w="3733" w:type="dxa"/>
          </w:tcPr>
          <w:p w14:paraId="4AE39F42" w14:textId="05129B37" w:rsidR="005642C6" w:rsidRPr="00C361DB" w:rsidRDefault="005642C6" w:rsidP="005642C6">
            <w:pPr>
              <w:rPr>
                <w:lang w:eastAsia="zh-CN"/>
              </w:rPr>
            </w:pPr>
            <w:r w:rsidRPr="00C361DB">
              <w:rPr>
                <w:lang w:eastAsia="zh-CN"/>
              </w:rPr>
              <w:t>Measurement and evaluation when CCA is used on the serving cell</w:t>
            </w:r>
          </w:p>
        </w:tc>
        <w:tc>
          <w:tcPr>
            <w:tcW w:w="6119" w:type="dxa"/>
          </w:tcPr>
          <w:p w14:paraId="19618EAE" w14:textId="02AE3CDA" w:rsidR="005642C6" w:rsidRDefault="005642C6" w:rsidP="005642C6">
            <w:pPr>
              <w:rPr>
                <w:lang w:val="en-US" w:eastAsia="zh-CN"/>
              </w:rPr>
            </w:pPr>
            <w:r>
              <w:rPr>
                <w:lang w:val="en-US" w:eastAsia="zh-CN"/>
              </w:rPr>
              <w:t>By definition, this section applies when the UE is configured with serving cell operating with CCA.</w:t>
            </w:r>
          </w:p>
        </w:tc>
      </w:tr>
      <w:tr w:rsidR="005642C6" w14:paraId="4A1E9A5B" w14:textId="77777777" w:rsidTr="00C361DB">
        <w:tc>
          <w:tcPr>
            <w:tcW w:w="911" w:type="dxa"/>
          </w:tcPr>
          <w:p w14:paraId="682E0C2F" w14:textId="1F2138B9" w:rsidR="005642C6" w:rsidRPr="00C361DB" w:rsidRDefault="005642C6" w:rsidP="005642C6">
            <w:pPr>
              <w:rPr>
                <w:lang w:eastAsia="zh-CN"/>
              </w:rPr>
            </w:pPr>
            <w:r w:rsidRPr="00C361DB">
              <w:rPr>
                <w:lang w:eastAsia="zh-CN"/>
              </w:rPr>
              <w:t xml:space="preserve">4.2A.2.3 </w:t>
            </w:r>
          </w:p>
        </w:tc>
        <w:tc>
          <w:tcPr>
            <w:tcW w:w="3733" w:type="dxa"/>
          </w:tcPr>
          <w:p w14:paraId="4996494E" w14:textId="5889D6E4" w:rsidR="005642C6" w:rsidRPr="00C361DB" w:rsidRDefault="005642C6" w:rsidP="005642C6">
            <w:pPr>
              <w:rPr>
                <w:lang w:eastAsia="zh-CN"/>
              </w:rPr>
            </w:pPr>
            <w:r w:rsidRPr="00C361DB">
              <w:rPr>
                <w:lang w:eastAsia="zh-CN"/>
              </w:rPr>
              <w:t>Measurements of intra-frequency NR cells when CCA is used on the serving cell and target cell</w:t>
            </w:r>
          </w:p>
        </w:tc>
        <w:tc>
          <w:tcPr>
            <w:tcW w:w="6119" w:type="dxa"/>
          </w:tcPr>
          <w:p w14:paraId="25871432" w14:textId="673273ED" w:rsidR="005642C6" w:rsidRDefault="005642C6" w:rsidP="005642C6">
            <w:pPr>
              <w:rPr>
                <w:lang w:val="en-US" w:eastAsia="zh-CN"/>
              </w:rPr>
            </w:pPr>
            <w:r>
              <w:rPr>
                <w:lang w:val="en-US" w:eastAsia="zh-CN"/>
              </w:rPr>
              <w:t>Since these requirements are for intrafrequuency operation, this section applies when the UE is configured with a serving cell operating with CCA</w:t>
            </w:r>
            <w:r w:rsidR="00B06A50">
              <w:rPr>
                <w:lang w:val="en-US" w:eastAsia="zh-CN"/>
              </w:rPr>
              <w:t xml:space="preserve"> and this also implies that intra-frequency cells have CCA.</w:t>
            </w:r>
            <w:r>
              <w:rPr>
                <w:lang w:val="en-US" w:eastAsia="zh-CN"/>
              </w:rPr>
              <w:t>.</w:t>
            </w:r>
          </w:p>
        </w:tc>
      </w:tr>
      <w:tr w:rsidR="005642C6" w14:paraId="16BE6C2F" w14:textId="77777777" w:rsidTr="00C361DB">
        <w:tc>
          <w:tcPr>
            <w:tcW w:w="911" w:type="dxa"/>
          </w:tcPr>
          <w:p w14:paraId="7AE39065" w14:textId="4E6E6635" w:rsidR="005642C6" w:rsidRPr="00C361DB" w:rsidRDefault="005642C6" w:rsidP="005642C6">
            <w:pPr>
              <w:rPr>
                <w:lang w:eastAsia="zh-CN"/>
              </w:rPr>
            </w:pPr>
            <w:r w:rsidRPr="00C361DB">
              <w:rPr>
                <w:lang w:eastAsia="zh-CN"/>
              </w:rPr>
              <w:t>4.2A.2.4</w:t>
            </w:r>
          </w:p>
        </w:tc>
        <w:tc>
          <w:tcPr>
            <w:tcW w:w="3733" w:type="dxa"/>
          </w:tcPr>
          <w:p w14:paraId="07275DFE" w14:textId="7C53D3EB" w:rsidR="005642C6" w:rsidRPr="00C361DB" w:rsidRDefault="005642C6" w:rsidP="005642C6">
            <w:pPr>
              <w:rPr>
                <w:lang w:eastAsia="zh-CN"/>
              </w:rPr>
            </w:pPr>
            <w:r w:rsidRPr="00C361DB">
              <w:rPr>
                <w:lang w:eastAsia="zh-CN"/>
              </w:rPr>
              <w:t>Measurements of inter-frequency NR cells when CCA is used on the target cell</w:t>
            </w:r>
          </w:p>
        </w:tc>
        <w:tc>
          <w:tcPr>
            <w:tcW w:w="6119" w:type="dxa"/>
          </w:tcPr>
          <w:p w14:paraId="2A8AC7A5" w14:textId="4A91E5CD" w:rsidR="00B06A50" w:rsidRDefault="00B06A50" w:rsidP="00B06A50">
            <w:pPr>
              <w:rPr>
                <w:lang w:val="en-US" w:eastAsia="zh-CN"/>
              </w:rPr>
            </w:pPr>
            <w:r>
              <w:rPr>
                <w:lang w:val="en-US" w:eastAsia="zh-CN"/>
              </w:rPr>
              <w:t>This section has requirements for idle measurements when the inter-frequency target cell is operating with CCA. It can apply in two different cases</w:t>
            </w:r>
          </w:p>
          <w:p w14:paraId="2919C78E" w14:textId="5A29B6A6" w:rsidR="00B06A50" w:rsidRDefault="00B06A50" w:rsidP="00E333DE">
            <w:pPr>
              <w:numPr>
                <w:ilvl w:val="0"/>
                <w:numId w:val="6"/>
              </w:numPr>
              <w:rPr>
                <w:lang w:val="en-US" w:eastAsia="zh-CN"/>
              </w:rPr>
            </w:pPr>
            <w:r>
              <w:rPr>
                <w:lang w:val="en-US" w:eastAsia="zh-CN"/>
              </w:rPr>
              <w:t>When the UE operates with a non CCA serving cell and measures CCA interfrequency neighbours</w:t>
            </w:r>
          </w:p>
          <w:p w14:paraId="0C4D90F3" w14:textId="0D50DB98" w:rsidR="005642C6" w:rsidRDefault="00B06A50" w:rsidP="00E333DE">
            <w:pPr>
              <w:numPr>
                <w:ilvl w:val="0"/>
                <w:numId w:val="6"/>
              </w:numPr>
              <w:rPr>
                <w:lang w:val="en-US" w:eastAsia="zh-CN"/>
              </w:rPr>
            </w:pPr>
            <w:r>
              <w:rPr>
                <w:lang w:val="en-US" w:eastAsia="zh-CN"/>
              </w:rPr>
              <w:t>When the UE operates with a CCA serving cell and measures CCA interfrequency neighbours</w:t>
            </w:r>
          </w:p>
        </w:tc>
      </w:tr>
      <w:tr w:rsidR="005642C6" w14:paraId="1CA76DCD" w14:textId="77777777" w:rsidTr="00C361DB">
        <w:tc>
          <w:tcPr>
            <w:tcW w:w="911" w:type="dxa"/>
          </w:tcPr>
          <w:p w14:paraId="7562E583" w14:textId="49D85E7E" w:rsidR="005642C6" w:rsidRPr="00C361DB" w:rsidRDefault="005642C6" w:rsidP="005642C6">
            <w:pPr>
              <w:rPr>
                <w:lang w:eastAsia="zh-CN"/>
              </w:rPr>
            </w:pPr>
            <w:r w:rsidRPr="00C361DB">
              <w:rPr>
                <w:lang w:eastAsia="zh-CN"/>
              </w:rPr>
              <w:t>4.2A.2.5</w:t>
            </w:r>
          </w:p>
        </w:tc>
        <w:tc>
          <w:tcPr>
            <w:tcW w:w="3733" w:type="dxa"/>
          </w:tcPr>
          <w:p w14:paraId="6E0BCFA5" w14:textId="0CADEB5B" w:rsidR="005642C6" w:rsidRPr="00C361DB" w:rsidRDefault="005642C6" w:rsidP="005642C6">
            <w:pPr>
              <w:rPr>
                <w:lang w:eastAsia="zh-CN"/>
              </w:rPr>
            </w:pPr>
            <w:r w:rsidRPr="00C361DB">
              <w:rPr>
                <w:lang w:eastAsia="zh-CN"/>
              </w:rPr>
              <w:t>Measurements of inter-RAT E-UTRAN cells when CCA is used on the serving cell</w:t>
            </w:r>
          </w:p>
        </w:tc>
        <w:tc>
          <w:tcPr>
            <w:tcW w:w="6119" w:type="dxa"/>
          </w:tcPr>
          <w:p w14:paraId="5629CCEC" w14:textId="52208CB6" w:rsidR="005642C6" w:rsidRDefault="00B06A50" w:rsidP="005642C6">
            <w:pPr>
              <w:rPr>
                <w:lang w:val="en-US" w:eastAsia="zh-CN"/>
              </w:rPr>
            </w:pPr>
            <w:r>
              <w:rPr>
                <w:lang w:val="en-US" w:eastAsia="zh-CN"/>
              </w:rPr>
              <w:t>This section applies when the UE is not configured with a serving cell operating with CCA</w:t>
            </w:r>
          </w:p>
        </w:tc>
      </w:tr>
      <w:tr w:rsidR="00B06A50" w14:paraId="4A62D08D" w14:textId="77777777" w:rsidTr="00C361DB">
        <w:tc>
          <w:tcPr>
            <w:tcW w:w="911" w:type="dxa"/>
          </w:tcPr>
          <w:p w14:paraId="6B5621DB" w14:textId="0728B052" w:rsidR="00B06A50" w:rsidRPr="00C361DB" w:rsidRDefault="00B06A50" w:rsidP="00B06A50">
            <w:pPr>
              <w:rPr>
                <w:lang w:eastAsia="zh-CN"/>
              </w:rPr>
            </w:pPr>
            <w:r w:rsidRPr="00C361DB">
              <w:rPr>
                <w:lang w:eastAsia="zh-CN"/>
              </w:rPr>
              <w:lastRenderedPageBreak/>
              <w:t>4.2A.2.6</w:t>
            </w:r>
          </w:p>
        </w:tc>
        <w:tc>
          <w:tcPr>
            <w:tcW w:w="3733" w:type="dxa"/>
          </w:tcPr>
          <w:p w14:paraId="625DC159" w14:textId="3F00F00A" w:rsidR="00B06A50" w:rsidRPr="00C361DB" w:rsidRDefault="00B06A50" w:rsidP="00B06A50">
            <w:pPr>
              <w:rPr>
                <w:lang w:eastAsia="zh-CN"/>
              </w:rPr>
            </w:pPr>
            <w:r w:rsidRPr="00C361DB">
              <w:rPr>
                <w:lang w:eastAsia="zh-CN"/>
              </w:rPr>
              <w:t xml:space="preserve">Maximum interruption in paging reception when CCA is used on the  cell which the UE is reselecting towards </w:t>
            </w:r>
          </w:p>
        </w:tc>
        <w:tc>
          <w:tcPr>
            <w:tcW w:w="6119" w:type="dxa"/>
          </w:tcPr>
          <w:p w14:paraId="41CF57A9" w14:textId="6E99793B" w:rsidR="00B06A50" w:rsidRDefault="00B06A50" w:rsidP="00B06A50">
            <w:pPr>
              <w:rPr>
                <w:lang w:val="en-US" w:eastAsia="zh-CN"/>
              </w:rPr>
            </w:pPr>
            <w:r>
              <w:rPr>
                <w:lang w:eastAsia="zh-CN"/>
              </w:rPr>
              <w:t>T</w:t>
            </w:r>
            <w:r w:rsidRPr="00A665D8">
              <w:rPr>
                <w:lang w:eastAsia="zh-CN"/>
              </w:rPr>
              <w:t>he requirements apply when the cell for which SI is being received is on a carrier frequency with CCA, regardless of whether the camping cell is on a carrier frequency</w:t>
            </w:r>
            <w:r>
              <w:rPr>
                <w:lang w:eastAsia="zh-CN"/>
              </w:rPr>
              <w:t xml:space="preserve"> with CCA</w:t>
            </w:r>
          </w:p>
        </w:tc>
      </w:tr>
      <w:tr w:rsidR="00B06A50" w14:paraId="35A118CB" w14:textId="77777777" w:rsidTr="00C361DB">
        <w:tc>
          <w:tcPr>
            <w:tcW w:w="911" w:type="dxa"/>
          </w:tcPr>
          <w:p w14:paraId="3EC74DA4" w14:textId="58EC9530" w:rsidR="00B06A50" w:rsidRPr="00C361DB" w:rsidRDefault="00B06A50" w:rsidP="00B06A50">
            <w:pPr>
              <w:rPr>
                <w:lang w:eastAsia="zh-CN"/>
              </w:rPr>
            </w:pPr>
            <w:r w:rsidRPr="00C361DB">
              <w:rPr>
                <w:lang w:eastAsia="zh-CN"/>
              </w:rPr>
              <w:t>4.2A.2.7</w:t>
            </w:r>
          </w:p>
        </w:tc>
        <w:tc>
          <w:tcPr>
            <w:tcW w:w="3733" w:type="dxa"/>
          </w:tcPr>
          <w:p w14:paraId="7EFA672A" w14:textId="5EFA45D0" w:rsidR="00B06A50" w:rsidRPr="00C361DB" w:rsidRDefault="00B06A50" w:rsidP="00B06A50">
            <w:pPr>
              <w:rPr>
                <w:lang w:eastAsia="zh-CN"/>
              </w:rPr>
            </w:pPr>
            <w:r w:rsidRPr="00C361DB">
              <w:rPr>
                <w:lang w:eastAsia="zh-CN"/>
              </w:rPr>
              <w:t>General requirements</w:t>
            </w:r>
          </w:p>
        </w:tc>
        <w:tc>
          <w:tcPr>
            <w:tcW w:w="6119" w:type="dxa"/>
          </w:tcPr>
          <w:p w14:paraId="6754A73F" w14:textId="60BC505E" w:rsidR="00B06A50" w:rsidRDefault="00337B68" w:rsidP="00B06A50">
            <w:pPr>
              <w:rPr>
                <w:lang w:val="en-US" w:eastAsia="zh-CN"/>
              </w:rPr>
            </w:pPr>
            <w:r>
              <w:rPr>
                <w:lang w:val="en-US" w:eastAsia="zh-CN"/>
              </w:rPr>
              <w:t>Requirement applies when serving cell has CCA Both CCA and non CCA frequencies could have higher absolute priority</w:t>
            </w:r>
          </w:p>
        </w:tc>
      </w:tr>
    </w:tbl>
    <w:p w14:paraId="03CAA617" w14:textId="38CF1841" w:rsidR="00224C66" w:rsidRPr="00394001" w:rsidRDefault="00394001" w:rsidP="00A97180">
      <w:pPr>
        <w:rPr>
          <w:b/>
          <w:lang w:val="en-US" w:eastAsia="zh-CN"/>
        </w:rPr>
      </w:pPr>
      <w:r>
        <w:rPr>
          <w:b/>
          <w:lang w:val="en-US" w:eastAsia="zh-CN"/>
        </w:rPr>
        <w:t>Table 1: Summary of requirements applicability for idle mode from agreed specification structure</w:t>
      </w:r>
    </w:p>
    <w:p w14:paraId="5BB67D79" w14:textId="382AB2B3" w:rsidR="00337B68" w:rsidRPr="00337B68" w:rsidRDefault="00337B68" w:rsidP="00A97180">
      <w:pPr>
        <w:rPr>
          <w:lang w:val="en-US" w:eastAsia="zh-CN"/>
        </w:rPr>
      </w:pPr>
      <w:r>
        <w:rPr>
          <w:lang w:val="en-US" w:eastAsia="zh-CN"/>
        </w:rPr>
        <w:t xml:space="preserve">Taking a different view, we could ask which requirements might apply (depending on neighbor frequencies configured) in different UE operating modes, </w:t>
      </w:r>
      <w:r w:rsidR="00B73FAE" w:rsidRPr="00B73FAE">
        <w:rPr>
          <w:lang w:val="en-US" w:eastAsia="zh-CN"/>
        </w:rPr>
        <w:t>and under different assumptions on UE capabilities (supported scenario)</w:t>
      </w:r>
      <w:r w:rsidR="00B73FAE">
        <w:rPr>
          <w:u w:val="single"/>
          <w:lang w:val="en-US" w:eastAsia="zh-CN"/>
        </w:rPr>
        <w:t xml:space="preserve"> </w:t>
      </w:r>
      <w:r>
        <w:rPr>
          <w:lang w:val="en-US" w:eastAsia="zh-CN"/>
        </w:rPr>
        <w:t xml:space="preserve"> and there are a mixture of intra-frequency, interfrequency NR-U and NR </w:t>
      </w:r>
      <w:r w:rsidR="0040021B">
        <w:rPr>
          <w:lang w:val="en-US" w:eastAsia="zh-CN"/>
        </w:rPr>
        <w:t>licensed</w:t>
      </w:r>
      <w:r>
        <w:rPr>
          <w:lang w:val="en-US" w:eastAsia="zh-CN"/>
        </w:rPr>
        <w:t xml:space="preserve"> neighbours and interRAT neighbours</w:t>
      </w:r>
    </w:p>
    <w:p w14:paraId="7FE95101" w14:textId="298DD8B2" w:rsidR="00337B68" w:rsidRPr="00337B68" w:rsidRDefault="00337B68" w:rsidP="00A97180">
      <w:pPr>
        <w:rPr>
          <w:u w:val="single"/>
          <w:lang w:val="en-US" w:eastAsia="zh-CN"/>
        </w:rPr>
      </w:pPr>
      <w:r w:rsidRPr="00337B68">
        <w:rPr>
          <w:u w:val="single"/>
          <w:lang w:val="en-US" w:eastAsia="zh-CN"/>
        </w:rPr>
        <w:t>Operating with a non CCA serving cell</w:t>
      </w:r>
    </w:p>
    <w:p w14:paraId="41BEFAFB" w14:textId="69B6DE42" w:rsidR="00337B68" w:rsidRDefault="00337B68" w:rsidP="00A97180">
      <w:pPr>
        <w:rPr>
          <w:lang w:val="en-US" w:eastAsia="zh-CN"/>
        </w:rPr>
      </w:pPr>
      <w:r>
        <w:rPr>
          <w:lang w:val="en-US" w:eastAsia="zh-CN"/>
        </w:rPr>
        <w:t>4.2.2.1,4.2.2.2, 4.2.2.3, 4.2.2.4, 4.2A.2.4, 4.2.2.5, 4.2.2.6 (during reselection to non NR-U target), 4.2A.2.6 (during reselection to NR-U target), 4.2.2.7</w:t>
      </w:r>
    </w:p>
    <w:p w14:paraId="63B678D2" w14:textId="195E8CB4" w:rsidR="00337B68" w:rsidRPr="00337B68" w:rsidRDefault="00337B68" w:rsidP="00337B68">
      <w:pPr>
        <w:rPr>
          <w:u w:val="single"/>
          <w:lang w:val="en-US" w:eastAsia="zh-CN"/>
        </w:rPr>
      </w:pPr>
      <w:r w:rsidRPr="00337B68">
        <w:rPr>
          <w:u w:val="single"/>
          <w:lang w:val="en-US" w:eastAsia="zh-CN"/>
        </w:rPr>
        <w:t>Operating with a CCA serving cell</w:t>
      </w:r>
    </w:p>
    <w:p w14:paraId="6A45F896" w14:textId="0BCF7CCA" w:rsidR="00337B68" w:rsidRDefault="00337B68" w:rsidP="00337B68">
      <w:pPr>
        <w:rPr>
          <w:lang w:val="en-US" w:eastAsia="zh-CN"/>
        </w:rPr>
      </w:pPr>
      <w:r>
        <w:rPr>
          <w:lang w:val="en-US" w:eastAsia="zh-CN"/>
        </w:rPr>
        <w:t>4.2A.2.1,4.2A.2.2, 4.2A.2.3, 4.2A.2.4, 4.2A.2.4, 4.2A.2.5, 4.2A.2.6 (during reselection to NR-U target), 4.2A.2.6 (during reselection to non NR-U target), 4.2A.2.7</w:t>
      </w:r>
    </w:p>
    <w:p w14:paraId="4962BB12" w14:textId="5065F0D6" w:rsidR="00B73FAE" w:rsidRPr="00B73FAE" w:rsidRDefault="00B73FAE" w:rsidP="00337B68">
      <w:pPr>
        <w:rPr>
          <w:u w:val="single"/>
          <w:lang w:val="en-US" w:eastAsia="zh-CN"/>
        </w:rPr>
      </w:pPr>
      <w:r w:rsidRPr="00B73FAE">
        <w:rPr>
          <w:u w:val="single"/>
          <w:lang w:val="en-US" w:eastAsia="zh-CN"/>
        </w:rPr>
        <w:t>UE without standalone NR</w:t>
      </w:r>
      <w:r>
        <w:rPr>
          <w:u w:val="single"/>
          <w:lang w:val="en-US" w:eastAsia="zh-CN"/>
        </w:rPr>
        <w:t>-U</w:t>
      </w:r>
      <w:r w:rsidRPr="00B73FAE">
        <w:rPr>
          <w:u w:val="single"/>
          <w:lang w:val="en-US" w:eastAsia="zh-CN"/>
        </w:rPr>
        <w:t xml:space="preserve"> capability</w:t>
      </w:r>
    </w:p>
    <w:p w14:paraId="31F30C81" w14:textId="5EF13A6E" w:rsidR="00337B68" w:rsidRDefault="00337B68" w:rsidP="00337B68">
      <w:pPr>
        <w:rPr>
          <w:lang w:val="en-US" w:eastAsia="zh-CN"/>
        </w:rPr>
      </w:pPr>
      <w:r>
        <w:rPr>
          <w:lang w:val="en-US" w:eastAsia="zh-CN"/>
        </w:rPr>
        <w:t xml:space="preserve">Yet another UE may “support” NR-U but support only scenario A. In this case, it makes no sense to measure NR-U in idle mode since such UE can never camp in idle mode on an NR-U cell. Hence it should support only 4.2.2.1 thru 4.2.2.7 and none of the 4.2A.2.x requirements. Yet this UE should </w:t>
      </w:r>
      <w:r w:rsidR="00B73FAE">
        <w:rPr>
          <w:lang w:val="en-US" w:eastAsia="zh-CN"/>
        </w:rPr>
        <w:t>meet</w:t>
      </w:r>
      <w:r>
        <w:rPr>
          <w:lang w:val="en-US" w:eastAsia="zh-CN"/>
        </w:rPr>
        <w:t xml:space="preserve"> both </w:t>
      </w:r>
      <w:r w:rsidR="0040021B">
        <w:rPr>
          <w:lang w:val="en-US" w:eastAsia="zh-CN"/>
        </w:rPr>
        <w:t>licensed</w:t>
      </w:r>
      <w:r>
        <w:rPr>
          <w:lang w:val="en-US" w:eastAsia="zh-CN"/>
        </w:rPr>
        <w:t xml:space="preserve"> NR</w:t>
      </w:r>
      <w:r w:rsidR="00FA0519">
        <w:rPr>
          <w:lang w:val="en-US" w:eastAsia="zh-CN"/>
        </w:rPr>
        <w:t xml:space="preserve"> interfrequency</w:t>
      </w:r>
      <w:r>
        <w:rPr>
          <w:lang w:val="en-US" w:eastAsia="zh-CN"/>
        </w:rPr>
        <w:t xml:space="preserve"> (9.</w:t>
      </w:r>
      <w:r w:rsidR="00FA0519">
        <w:rPr>
          <w:lang w:val="en-US" w:eastAsia="zh-CN"/>
        </w:rPr>
        <w:t>3) and NR-U interfrequency</w:t>
      </w:r>
      <w:r w:rsidR="00B73FAE">
        <w:rPr>
          <w:lang w:val="en-US" w:eastAsia="zh-CN"/>
        </w:rPr>
        <w:t xml:space="preserve"> (9.3A) </w:t>
      </w:r>
      <w:r w:rsidR="0040021B">
        <w:rPr>
          <w:lang w:val="en-US" w:eastAsia="zh-CN"/>
        </w:rPr>
        <w:t>requirements</w:t>
      </w:r>
      <w:r w:rsidR="00B73FAE">
        <w:rPr>
          <w:lang w:val="en-US" w:eastAsia="zh-CN"/>
        </w:rPr>
        <w:t xml:space="preserve"> in RRC connected state, because it supports NR+NR-U carrier aggregation.</w:t>
      </w:r>
    </w:p>
    <w:p w14:paraId="47AC22D2" w14:textId="5454DFF2" w:rsidR="00B73FAE" w:rsidRDefault="00B73FAE" w:rsidP="00337B68">
      <w:pPr>
        <w:rPr>
          <w:lang w:val="en-US" w:eastAsia="zh-CN"/>
        </w:rPr>
      </w:pPr>
      <w:r>
        <w:rPr>
          <w:lang w:val="en-US" w:eastAsia="zh-CN"/>
        </w:rPr>
        <w:t>From this description, we can see that requirements applicability is not completely straightforward and at any given time the requirements applying to the UE can be a mixture of so called “NR” and “NR-U” requirements, depending on</w:t>
      </w:r>
    </w:p>
    <w:p w14:paraId="796ACCAF" w14:textId="09D57085" w:rsidR="00B73FAE" w:rsidRDefault="00B73FAE" w:rsidP="00E333DE">
      <w:pPr>
        <w:pStyle w:val="ListParagraph"/>
        <w:numPr>
          <w:ilvl w:val="0"/>
          <w:numId w:val="7"/>
        </w:numPr>
        <w:rPr>
          <w:lang w:val="en-US" w:eastAsia="zh-CN"/>
        </w:rPr>
      </w:pPr>
      <w:r w:rsidRPr="00B73FAE">
        <w:rPr>
          <w:lang w:val="en-US" w:eastAsia="zh-CN"/>
        </w:rPr>
        <w:t>Which NR-U scenarios the UE supports (</w:t>
      </w:r>
      <w:r w:rsidR="0040021B" w:rsidRPr="00B73FAE">
        <w:rPr>
          <w:lang w:val="en-US" w:eastAsia="zh-CN"/>
        </w:rPr>
        <w:t>e.g.</w:t>
      </w:r>
      <w:r w:rsidRPr="00B73FAE">
        <w:rPr>
          <w:lang w:val="en-US" w:eastAsia="zh-CN"/>
        </w:rPr>
        <w:t xml:space="preserve"> scenario A,B, C </w:t>
      </w:r>
      <w:r w:rsidR="0040021B" w:rsidRPr="00B73FAE">
        <w:rPr>
          <w:lang w:val="en-US" w:eastAsia="zh-CN"/>
        </w:rPr>
        <w:t>etc.</w:t>
      </w:r>
      <w:r w:rsidRPr="00B73FAE">
        <w:rPr>
          <w:lang w:val="en-US" w:eastAsia="zh-CN"/>
        </w:rPr>
        <w:t>)</w:t>
      </w:r>
    </w:p>
    <w:p w14:paraId="4DDF2632" w14:textId="671DCC8C" w:rsidR="00B73FAE" w:rsidRDefault="00B73FAE" w:rsidP="00E333DE">
      <w:pPr>
        <w:pStyle w:val="ListParagraph"/>
        <w:numPr>
          <w:ilvl w:val="0"/>
          <w:numId w:val="7"/>
        </w:numPr>
        <w:rPr>
          <w:lang w:val="en-US" w:eastAsia="zh-CN"/>
        </w:rPr>
      </w:pPr>
      <w:r>
        <w:rPr>
          <w:lang w:val="en-US" w:eastAsia="zh-CN"/>
        </w:rPr>
        <w:t>Whether the UE is operating with a serving cell with CCA or without CCA</w:t>
      </w:r>
    </w:p>
    <w:p w14:paraId="7D3CF989" w14:textId="774CA368" w:rsidR="00B73FAE" w:rsidRDefault="00B73FAE" w:rsidP="00E333DE">
      <w:pPr>
        <w:pStyle w:val="ListParagraph"/>
        <w:numPr>
          <w:ilvl w:val="0"/>
          <w:numId w:val="7"/>
        </w:numPr>
        <w:rPr>
          <w:lang w:val="en-US" w:eastAsia="zh-CN"/>
        </w:rPr>
      </w:pPr>
      <w:r>
        <w:rPr>
          <w:lang w:val="en-US" w:eastAsia="zh-CN"/>
        </w:rPr>
        <w:t>What type of inter-frequency neighbor cells cells are configured (with CCA, without CCA, mixed)</w:t>
      </w:r>
    </w:p>
    <w:p w14:paraId="5225D227" w14:textId="63949796" w:rsidR="00B73FAE" w:rsidRDefault="00B73FAE" w:rsidP="00B73FAE">
      <w:pPr>
        <w:rPr>
          <w:lang w:val="en-US" w:eastAsia="zh-CN"/>
        </w:rPr>
      </w:pPr>
    </w:p>
    <w:p w14:paraId="56883DB7" w14:textId="2BE0BADA" w:rsidR="00B73FAE" w:rsidRDefault="00B73FAE" w:rsidP="00B73FAE">
      <w:pPr>
        <w:rPr>
          <w:lang w:val="en-US" w:eastAsia="zh-CN"/>
        </w:rPr>
      </w:pPr>
      <w:r>
        <w:rPr>
          <w:lang w:val="en-US" w:eastAsia="zh-CN"/>
        </w:rPr>
        <w:t>The analysis provided is for idle more, but a similar consideration would result from most other RRM requirements in 38.133 or 36.133.</w:t>
      </w:r>
    </w:p>
    <w:p w14:paraId="676CF6D0" w14:textId="26DA3515" w:rsidR="00B73FAE" w:rsidRDefault="00B73FAE" w:rsidP="00B73FAE">
      <w:pPr>
        <w:rPr>
          <w:b/>
          <w:bCs/>
          <w:lang w:val="en-US" w:eastAsia="zh-CN"/>
        </w:rPr>
      </w:pPr>
      <w:r>
        <w:rPr>
          <w:b/>
          <w:bCs/>
          <w:lang w:val="en-US" w:eastAsia="zh-CN"/>
        </w:rPr>
        <w:t>Observation 1 : The set of applicable requirements for a UE at any given time can be a mixture of so called “NR” and “NR-U” requirements depending on at least</w:t>
      </w:r>
    </w:p>
    <w:p w14:paraId="25B547EA" w14:textId="1F5E4A86" w:rsidR="00B73FAE" w:rsidRPr="00B73FAE" w:rsidRDefault="00B73FAE" w:rsidP="00E333DE">
      <w:pPr>
        <w:pStyle w:val="ListParagraph"/>
        <w:numPr>
          <w:ilvl w:val="0"/>
          <w:numId w:val="7"/>
        </w:numPr>
        <w:rPr>
          <w:b/>
          <w:bCs/>
          <w:lang w:val="en-US" w:eastAsia="zh-CN"/>
        </w:rPr>
      </w:pPr>
      <w:r w:rsidRPr="00B73FAE">
        <w:rPr>
          <w:b/>
          <w:bCs/>
          <w:lang w:val="en-US" w:eastAsia="zh-CN"/>
        </w:rPr>
        <w:t>Which NR-U scenarios the UE supports (</w:t>
      </w:r>
      <w:r w:rsidR="0040021B" w:rsidRPr="00B73FAE">
        <w:rPr>
          <w:b/>
          <w:bCs/>
          <w:lang w:val="en-US" w:eastAsia="zh-CN"/>
        </w:rPr>
        <w:t>e.g.</w:t>
      </w:r>
      <w:r w:rsidRPr="00B73FAE">
        <w:rPr>
          <w:b/>
          <w:bCs/>
          <w:lang w:val="en-US" w:eastAsia="zh-CN"/>
        </w:rPr>
        <w:t xml:space="preserve"> scenario A,B, C </w:t>
      </w:r>
      <w:r w:rsidR="0040021B" w:rsidRPr="00B73FAE">
        <w:rPr>
          <w:b/>
          <w:bCs/>
          <w:lang w:val="en-US" w:eastAsia="zh-CN"/>
        </w:rPr>
        <w:t>etc.</w:t>
      </w:r>
      <w:r w:rsidRPr="00B73FAE">
        <w:rPr>
          <w:b/>
          <w:bCs/>
          <w:lang w:val="en-US" w:eastAsia="zh-CN"/>
        </w:rPr>
        <w:t>)</w:t>
      </w:r>
      <w:r w:rsidR="0040021B">
        <w:rPr>
          <w:b/>
          <w:bCs/>
          <w:lang w:val="en-US" w:eastAsia="zh-CN"/>
        </w:rPr>
        <w:t>?</w:t>
      </w:r>
    </w:p>
    <w:p w14:paraId="3694A91C" w14:textId="7F5DCC05" w:rsidR="00B73FAE" w:rsidRPr="00B73FAE" w:rsidRDefault="00B73FAE" w:rsidP="00E333DE">
      <w:pPr>
        <w:pStyle w:val="ListParagraph"/>
        <w:numPr>
          <w:ilvl w:val="0"/>
          <w:numId w:val="7"/>
        </w:numPr>
        <w:rPr>
          <w:b/>
          <w:bCs/>
          <w:lang w:val="en-US" w:eastAsia="zh-CN"/>
        </w:rPr>
      </w:pPr>
      <w:r w:rsidRPr="00B73FAE">
        <w:rPr>
          <w:b/>
          <w:bCs/>
          <w:lang w:val="en-US" w:eastAsia="zh-CN"/>
        </w:rPr>
        <w:t>Whether the UE is operating with a serving cell with CCA or without CCA</w:t>
      </w:r>
      <w:r w:rsidR="0040021B">
        <w:rPr>
          <w:b/>
          <w:bCs/>
          <w:lang w:val="en-US" w:eastAsia="zh-CN"/>
        </w:rPr>
        <w:t>?</w:t>
      </w:r>
    </w:p>
    <w:p w14:paraId="00286D7E" w14:textId="4C68D7BF" w:rsidR="00B73FAE" w:rsidRPr="00B73FAE" w:rsidRDefault="00B73FAE" w:rsidP="00E333DE">
      <w:pPr>
        <w:pStyle w:val="ListParagraph"/>
        <w:numPr>
          <w:ilvl w:val="0"/>
          <w:numId w:val="7"/>
        </w:numPr>
        <w:rPr>
          <w:b/>
          <w:bCs/>
          <w:lang w:val="en-US" w:eastAsia="zh-CN"/>
        </w:rPr>
      </w:pPr>
      <w:r w:rsidRPr="00B73FAE">
        <w:rPr>
          <w:b/>
          <w:bCs/>
          <w:lang w:val="en-US" w:eastAsia="zh-CN"/>
        </w:rPr>
        <w:t>What type of inter-frequency neighbor cells are configured (with CCA, without CCA, mixed)</w:t>
      </w:r>
      <w:r w:rsidR="0040021B">
        <w:rPr>
          <w:b/>
          <w:bCs/>
          <w:lang w:val="en-US" w:eastAsia="zh-CN"/>
        </w:rPr>
        <w:t>?</w:t>
      </w:r>
    </w:p>
    <w:p w14:paraId="1C3325F2" w14:textId="566D75E6" w:rsidR="00B73FAE" w:rsidRDefault="00B73FAE" w:rsidP="00B73FAE">
      <w:pPr>
        <w:rPr>
          <w:b/>
          <w:bCs/>
          <w:lang w:val="en-US" w:eastAsia="zh-CN"/>
        </w:rPr>
      </w:pPr>
    </w:p>
    <w:p w14:paraId="3B68F682" w14:textId="29FD37D7" w:rsidR="00B73FAE" w:rsidRDefault="00B73FAE" w:rsidP="00337B68">
      <w:pPr>
        <w:rPr>
          <w:lang w:val="en-US" w:eastAsia="zh-CN"/>
        </w:rPr>
      </w:pPr>
    </w:p>
    <w:p w14:paraId="72540E5E" w14:textId="0F0719D0" w:rsidR="00B73FAE" w:rsidRDefault="00B73FAE" w:rsidP="00337B68">
      <w:r>
        <w:rPr>
          <w:lang w:val="en-US" w:eastAsia="zh-CN"/>
        </w:rPr>
        <w:t>Based on this observation, our view is that it is quite difficult to make a</w:t>
      </w:r>
      <w:r w:rsidR="007E7E44">
        <w:rPr>
          <w:lang w:val="en-US" w:eastAsia="zh-CN"/>
        </w:rPr>
        <w:t xml:space="preserve"> meaningful</w:t>
      </w:r>
      <w:r>
        <w:rPr>
          <w:lang w:val="en-US" w:eastAsia="zh-CN"/>
        </w:rPr>
        <w:t xml:space="preserve"> blanket statement </w:t>
      </w:r>
      <w:r w:rsidR="00394001">
        <w:rPr>
          <w:lang w:val="en-US" w:eastAsia="zh-CN"/>
        </w:rPr>
        <w:t xml:space="preserve">to </w:t>
      </w:r>
      <w:r w:rsidR="00394001" w:rsidRPr="00224C66">
        <w:t xml:space="preserve">assume </w:t>
      </w:r>
      <w:r w:rsidR="00394001">
        <w:t>that “</w:t>
      </w:r>
      <w:r w:rsidR="00394001" w:rsidRPr="00224C66">
        <w:t>all sections by default applicable for NR-U</w:t>
      </w:r>
      <w:r w:rsidR="00394001">
        <w:t>”, since there are many sub</w:t>
      </w:r>
      <w:r w:rsidR="007E7E44">
        <w:t>tl</w:t>
      </w:r>
      <w:r w:rsidR="00394001">
        <w:t xml:space="preserve">ties which are </w:t>
      </w:r>
      <w:r w:rsidR="007E7E44">
        <w:t>not captured in such an applicability statement. In general, “NR-U” in this statement does not have a fixed meaning but its interpretation can vary from requirement to requirement. Another problem is that when new features are added in future RAN4 needs to be careful either to check their applicability to NR-U or else override the default applicability, which can easily be forgotten.</w:t>
      </w:r>
    </w:p>
    <w:p w14:paraId="5C42F85A" w14:textId="77777777" w:rsidR="007E7E44" w:rsidRPr="007E7E44" w:rsidRDefault="007E7E44" w:rsidP="007E7E44">
      <w:pPr>
        <w:rPr>
          <w:b/>
          <w:bCs/>
        </w:rPr>
      </w:pPr>
      <w:r w:rsidRPr="007E7E44">
        <w:rPr>
          <w:b/>
          <w:bCs/>
        </w:rPr>
        <w:t xml:space="preserve">Observation 2 : A </w:t>
      </w:r>
      <w:r w:rsidRPr="007E7E44">
        <w:rPr>
          <w:b/>
          <w:bCs/>
          <w:lang w:val="en-US" w:eastAsia="zh-CN"/>
        </w:rPr>
        <w:t xml:space="preserve">statement that </w:t>
      </w:r>
      <w:r w:rsidRPr="007E7E44">
        <w:rPr>
          <w:b/>
          <w:bCs/>
        </w:rPr>
        <w:t>that “</w:t>
      </w:r>
      <w:r w:rsidRPr="00224C66">
        <w:rPr>
          <w:b/>
          <w:bCs/>
        </w:rPr>
        <w:t>all sections by default applicable for NR-U</w:t>
      </w:r>
      <w:r w:rsidRPr="007E7E44">
        <w:rPr>
          <w:b/>
          <w:bCs/>
        </w:rPr>
        <w:t>” is not meaningful, since the meaning of “NR-U” varies from section to section.</w:t>
      </w:r>
    </w:p>
    <w:p w14:paraId="103E846B" w14:textId="53DAD792" w:rsidR="007E7E44" w:rsidRDefault="007E7E44" w:rsidP="007E7E44">
      <w:pPr>
        <w:rPr>
          <w:b/>
          <w:bCs/>
        </w:rPr>
      </w:pPr>
      <w:r w:rsidRPr="007E7E44">
        <w:rPr>
          <w:b/>
          <w:bCs/>
        </w:rPr>
        <w:t xml:space="preserve">Observation </w:t>
      </w:r>
      <w:r>
        <w:rPr>
          <w:b/>
          <w:bCs/>
        </w:rPr>
        <w:t>3</w:t>
      </w:r>
      <w:r w:rsidRPr="007E7E44">
        <w:rPr>
          <w:b/>
          <w:bCs/>
        </w:rPr>
        <w:t xml:space="preserve"> : A </w:t>
      </w:r>
      <w:r w:rsidRPr="007E7E44">
        <w:rPr>
          <w:b/>
          <w:bCs/>
          <w:lang w:val="en-US" w:eastAsia="zh-CN"/>
        </w:rPr>
        <w:t xml:space="preserve">statement that </w:t>
      </w:r>
      <w:r w:rsidRPr="007E7E44">
        <w:rPr>
          <w:b/>
          <w:bCs/>
        </w:rPr>
        <w:t>that “</w:t>
      </w:r>
      <w:r w:rsidRPr="00224C66">
        <w:rPr>
          <w:b/>
          <w:bCs/>
        </w:rPr>
        <w:t>all sections by default applicable for NR-U</w:t>
      </w:r>
      <w:r w:rsidRPr="007E7E44">
        <w:rPr>
          <w:b/>
          <w:bCs/>
        </w:rPr>
        <w:t xml:space="preserve">” </w:t>
      </w:r>
      <w:r>
        <w:rPr>
          <w:b/>
          <w:bCs/>
        </w:rPr>
        <w:t>may create future problems when adding new features if they do not apply to NR-U and it is forgotten to exclude them.</w:t>
      </w:r>
    </w:p>
    <w:p w14:paraId="42699FF3" w14:textId="77777777" w:rsidR="007E7E44" w:rsidRPr="007E7E44" w:rsidRDefault="007E7E44" w:rsidP="007E7E44">
      <w:pPr>
        <w:rPr>
          <w:b/>
          <w:bCs/>
        </w:rPr>
      </w:pPr>
    </w:p>
    <w:p w14:paraId="0F28CE41" w14:textId="12DAB90A" w:rsidR="007E7E44" w:rsidRPr="007E7E44" w:rsidRDefault="007E7E44" w:rsidP="00337B68">
      <w:r w:rsidRPr="007E7E44">
        <w:lastRenderedPageBreak/>
        <w:t>We then try to address the questions from the way forward based on the observations</w:t>
      </w:r>
    </w:p>
    <w:p w14:paraId="5B57FD9E" w14:textId="55409A73" w:rsidR="007E7E44" w:rsidRPr="007E7E44" w:rsidRDefault="007E7E44" w:rsidP="007E7E44">
      <w:pPr>
        <w:rPr>
          <w:i/>
          <w:iCs/>
          <w:color w:val="FF0000"/>
        </w:rPr>
      </w:pPr>
      <w:r w:rsidRPr="00224C66">
        <w:rPr>
          <w:i/>
          <w:iCs/>
          <w:color w:val="FF0000"/>
        </w:rPr>
        <w:t>Q1: How to capture the conditions on what the overall set of requirements is, and which requirements are expected to be met by a UE in a particular operating scenario? (can also be a non NR-U scenario where NR-U neighbors are configured) and with particular NR-U capabilities? (eg capability to support scenario A, B, C etc…)</w:t>
      </w:r>
    </w:p>
    <w:p w14:paraId="2A721C26" w14:textId="552A897B" w:rsidR="007E7E44" w:rsidRPr="00224C66" w:rsidRDefault="007E7E44" w:rsidP="007E7E44">
      <w:r>
        <w:t>The overall set of requirements cannot be clearly seen unless option 1 is selected, since the overall set would need to be summarised in a single part of the specification</w:t>
      </w:r>
    </w:p>
    <w:p w14:paraId="6BF97059" w14:textId="59A976D4" w:rsidR="007E7E44" w:rsidRPr="007E7E44" w:rsidRDefault="007E7E44" w:rsidP="007E7E44">
      <w:pPr>
        <w:rPr>
          <w:b/>
          <w:bCs/>
          <w:i/>
          <w:iCs/>
          <w:color w:val="FF0000"/>
        </w:rPr>
      </w:pPr>
      <w:r w:rsidRPr="007E7E44">
        <w:rPr>
          <w:i/>
          <w:iCs/>
          <w:color w:val="FF0000"/>
        </w:rPr>
        <w:t>Q2: For companies who want to include NR-U “by default” (option 2a) in applicability: provide further detailed proposals of exactly what is considered to be within the scope of this default, and how a requirement covered by this default should be interpreted so that we can better evaluate the proposal</w:t>
      </w:r>
    </w:p>
    <w:p w14:paraId="1347C7AC" w14:textId="6CE121E0" w:rsidR="007E7E44" w:rsidRPr="007E7E44" w:rsidRDefault="007E7E44" w:rsidP="00337B68">
      <w:pPr>
        <w:rPr>
          <w:lang w:val="en-US" w:eastAsia="zh-CN"/>
        </w:rPr>
      </w:pPr>
      <w:r>
        <w:rPr>
          <w:lang w:val="en-US" w:eastAsia="zh-CN"/>
        </w:rPr>
        <w:t xml:space="preserve">Our view is that there is no clear way to specify the scope of the default in light of observations 1 &amp; 2 </w:t>
      </w:r>
    </w:p>
    <w:p w14:paraId="2CD73A5D" w14:textId="74CB6812" w:rsidR="005E033D" w:rsidRDefault="007E7E44" w:rsidP="00A97180">
      <w:pPr>
        <w:rPr>
          <w:lang w:val="en-US" w:eastAsia="zh-CN"/>
        </w:rPr>
      </w:pPr>
      <w:r>
        <w:rPr>
          <w:lang w:val="en-US" w:eastAsia="zh-CN"/>
        </w:rPr>
        <w:t xml:space="preserve">For this reason, our view is that option 2A should not be considered, especially as it was supported by only one company in RAN4#94e and </w:t>
      </w:r>
      <w:r w:rsidR="005E033D">
        <w:rPr>
          <w:lang w:val="en-US" w:eastAsia="zh-CN"/>
        </w:rPr>
        <w:t>the agreed specification structure indicated via colour coding that CCA operation would be excluded “by default” and then the discussion was about whether to extend the existing requirement to explicitly cover the CCA and non CCA cases (</w:t>
      </w:r>
      <w:r w:rsidR="0040021B">
        <w:rPr>
          <w:lang w:val="en-US" w:eastAsia="zh-CN"/>
        </w:rPr>
        <w:t>i.e.</w:t>
      </w:r>
      <w:r w:rsidR="005E033D">
        <w:rPr>
          <w:lang w:val="en-US" w:eastAsia="zh-CN"/>
        </w:rPr>
        <w:t xml:space="preserve"> override the default) – green colour, or to make a CCA variant of the requirement (purple colour).</w:t>
      </w:r>
    </w:p>
    <w:tbl>
      <w:tblPr>
        <w:tblStyle w:val="TableGrid"/>
        <w:tblW w:w="0" w:type="auto"/>
        <w:tblLook w:val="04A0" w:firstRow="1" w:lastRow="0" w:firstColumn="1" w:lastColumn="0" w:noHBand="0" w:noVBand="1"/>
      </w:tblPr>
      <w:tblGrid>
        <w:gridCol w:w="10537"/>
      </w:tblGrid>
      <w:tr w:rsidR="005E033D" w14:paraId="7E886DC3" w14:textId="77777777" w:rsidTr="005E033D">
        <w:tc>
          <w:tcPr>
            <w:tcW w:w="10537" w:type="dxa"/>
          </w:tcPr>
          <w:p w14:paraId="52E7D3C4" w14:textId="77777777" w:rsidR="005E033D" w:rsidRDefault="005E033D" w:rsidP="005E033D">
            <w:pPr>
              <w:rPr>
                <w:lang w:val="en-US" w:eastAsia="zh-CN"/>
              </w:rPr>
            </w:pPr>
            <w:r w:rsidRPr="00B260FC">
              <w:rPr>
                <w:highlight w:val="green"/>
                <w:lang w:val="en-US" w:eastAsia="zh-CN"/>
              </w:rPr>
              <w:t>Scope of existing requirements extended to cover CCA and non CCA</w:t>
            </w:r>
          </w:p>
          <w:p w14:paraId="22B3DED8" w14:textId="77777777" w:rsidR="005E033D" w:rsidRDefault="005E033D" w:rsidP="005E033D">
            <w:pPr>
              <w:rPr>
                <w:lang w:val="en-US" w:eastAsia="zh-CN"/>
              </w:rPr>
            </w:pPr>
            <w:r w:rsidRPr="00B260FC">
              <w:rPr>
                <w:highlight w:val="cyan"/>
                <w:lang w:val="en-US" w:eastAsia="zh-CN"/>
              </w:rPr>
              <w:t>CCA is excluded by default, CCA variant of requirement added in another subsection</w:t>
            </w:r>
          </w:p>
          <w:p w14:paraId="6978D9BC" w14:textId="77777777" w:rsidR="005E033D" w:rsidRDefault="005E033D" w:rsidP="005E033D">
            <w:pPr>
              <w:rPr>
                <w:lang w:val="en-US" w:eastAsia="zh-CN"/>
              </w:rPr>
            </w:pPr>
            <w:r w:rsidRPr="00F14A0C">
              <w:rPr>
                <w:highlight w:val="lightGray"/>
                <w:lang w:val="en-US" w:eastAsia="zh-CN"/>
              </w:rPr>
              <w:t>CCA is excluded by default, CCA variant of requirement not necessary</w:t>
            </w:r>
          </w:p>
          <w:p w14:paraId="5FE5660A" w14:textId="228044B1" w:rsidR="005E033D" w:rsidRDefault="005E033D" w:rsidP="00A97180">
            <w:pPr>
              <w:rPr>
                <w:lang w:val="en-US" w:eastAsia="zh-CN"/>
              </w:rPr>
            </w:pPr>
            <w:r w:rsidRPr="00B260FC">
              <w:rPr>
                <w:highlight w:val="magenta"/>
                <w:lang w:val="en-US" w:eastAsia="zh-CN"/>
              </w:rPr>
              <w:t>CCA variant of requirement</w:t>
            </w:r>
          </w:p>
        </w:tc>
      </w:tr>
    </w:tbl>
    <w:p w14:paraId="4A287849" w14:textId="4D6207DC" w:rsidR="005E033D" w:rsidRDefault="005E033D" w:rsidP="00A97180">
      <w:pPr>
        <w:rPr>
          <w:lang w:val="en-US" w:eastAsia="zh-CN"/>
        </w:rPr>
      </w:pPr>
    </w:p>
    <w:p w14:paraId="44D4568B" w14:textId="2990E76D" w:rsidR="005E033D" w:rsidRDefault="005E033D" w:rsidP="00A97180">
      <w:pPr>
        <w:rPr>
          <w:b/>
          <w:bCs/>
          <w:lang w:val="en-US" w:eastAsia="zh-CN"/>
        </w:rPr>
      </w:pPr>
      <w:r>
        <w:rPr>
          <w:b/>
          <w:bCs/>
          <w:lang w:val="en-US" w:eastAsia="zh-CN"/>
        </w:rPr>
        <w:t>Proposal 1 : RAN4 excludes option 2a, which is “</w:t>
      </w:r>
      <w:r w:rsidRPr="00224C66">
        <w:rPr>
          <w:b/>
          <w:bCs/>
        </w:rPr>
        <w:t>no applicability section, assume all sections by default applicable for NR-U</w:t>
      </w:r>
      <w:r>
        <w:rPr>
          <w:b/>
          <w:bCs/>
          <w:lang w:val="en-US" w:eastAsia="zh-CN"/>
        </w:rPr>
        <w:t>”</w:t>
      </w:r>
    </w:p>
    <w:p w14:paraId="370B19D7" w14:textId="7C552A69" w:rsidR="005E033D" w:rsidRDefault="005E033D" w:rsidP="00A97180">
      <w:pPr>
        <w:rPr>
          <w:lang w:val="en-US" w:eastAsia="zh-CN"/>
        </w:rPr>
      </w:pPr>
      <w:r w:rsidRPr="005E033D">
        <w:rPr>
          <w:lang w:val="en-US" w:eastAsia="zh-CN"/>
        </w:rPr>
        <w:t>When</w:t>
      </w:r>
      <w:r>
        <w:rPr>
          <w:lang w:val="en-US" w:eastAsia="zh-CN"/>
        </w:rPr>
        <w:t xml:space="preserve"> it comes to choosing between option 1 and option 2b, our view is less strong. The main pro of option 1 is that all the information is captured in a common place (applicability section 3) and therefore it is more straightforward to understand the full picture of how a UE operates in a given </w:t>
      </w:r>
      <w:r w:rsidR="00DE7258">
        <w:rPr>
          <w:lang w:val="en-US" w:eastAsia="zh-CN"/>
        </w:rPr>
        <w:t>UE state in terms of which requirements it should meet</w:t>
      </w:r>
      <w:r>
        <w:rPr>
          <w:lang w:val="en-US" w:eastAsia="zh-CN"/>
        </w:rPr>
        <w:t>. For example, we structured the requirements in different tables according to</w:t>
      </w:r>
    </w:p>
    <w:p w14:paraId="34225CEB" w14:textId="0EDAEBB6" w:rsidR="00DE7258" w:rsidRPr="00DE7258" w:rsidRDefault="00DE7258" w:rsidP="00A97180">
      <w:pPr>
        <w:rPr>
          <w:u w:val="single"/>
          <w:lang w:val="en-US" w:eastAsia="zh-CN"/>
        </w:rPr>
      </w:pPr>
      <w:r w:rsidRPr="00DE7258">
        <w:rPr>
          <w:u w:val="single"/>
          <w:lang w:val="en-US" w:eastAsia="zh-CN"/>
        </w:rPr>
        <w:t>38.133</w:t>
      </w:r>
    </w:p>
    <w:p w14:paraId="3DAFE8E7" w14:textId="20297FE9" w:rsidR="00DE7258" w:rsidRPr="00DE7258" w:rsidRDefault="00DE7258" w:rsidP="00E333DE">
      <w:pPr>
        <w:pStyle w:val="ListParagraph"/>
        <w:numPr>
          <w:ilvl w:val="0"/>
          <w:numId w:val="9"/>
        </w:numPr>
        <w:rPr>
          <w:noProof/>
        </w:rPr>
      </w:pPr>
      <w:r w:rsidRPr="00DE7258">
        <w:rPr>
          <w:noProof/>
        </w:rPr>
        <w:t>Monitoring Requirements for UEs in RRC idle and RRC inactive state prior to reselection to a serving cell operating with CCA</w:t>
      </w:r>
    </w:p>
    <w:p w14:paraId="731CCF6E" w14:textId="28288B61" w:rsidR="00DE7258" w:rsidRPr="00DE7258" w:rsidRDefault="00DE7258" w:rsidP="00E333DE">
      <w:pPr>
        <w:pStyle w:val="ListParagraph"/>
        <w:numPr>
          <w:ilvl w:val="0"/>
          <w:numId w:val="9"/>
        </w:numPr>
        <w:rPr>
          <w:noProof/>
        </w:rPr>
      </w:pPr>
      <w:r w:rsidRPr="00DE7258">
        <w:rPr>
          <w:noProof/>
        </w:rPr>
        <w:t>Monitoring requirements for UEs in RRC conencted state,  which support standalone operation on cells with CCA, and UEs which support carrier aggregation of Scells operating with CCA, prior to the PCell handover to a serving cell operating with CCA, or the addition of an Scell operating with CCA</w:t>
      </w:r>
    </w:p>
    <w:p w14:paraId="3677BE0A" w14:textId="75E5BBCB" w:rsidR="00DE7258" w:rsidRPr="00DE7258" w:rsidRDefault="00DE7258" w:rsidP="00E333DE">
      <w:pPr>
        <w:pStyle w:val="ListParagraph"/>
        <w:numPr>
          <w:ilvl w:val="0"/>
          <w:numId w:val="9"/>
        </w:numPr>
      </w:pPr>
      <w:r w:rsidRPr="00DE7258">
        <w:t>Applicability of requirements prior to configuring a serving cell with CCA</w:t>
      </w:r>
    </w:p>
    <w:p w14:paraId="09624D3D" w14:textId="72B5BA3E" w:rsidR="00DE7258" w:rsidRPr="00DE7258" w:rsidRDefault="00DE7258" w:rsidP="00E333DE">
      <w:pPr>
        <w:pStyle w:val="ListParagraph"/>
        <w:numPr>
          <w:ilvl w:val="0"/>
          <w:numId w:val="9"/>
        </w:numPr>
        <w:rPr>
          <w:noProof/>
        </w:rPr>
      </w:pPr>
      <w:r w:rsidRPr="00DE7258">
        <w:rPr>
          <w:noProof/>
        </w:rPr>
        <w:t>Requirements for UEs which support standalone operation on cells with CCA, prior to the handover,  reestablishment or redirection to a serving cell operating with CCA</w:t>
      </w:r>
    </w:p>
    <w:p w14:paraId="40B6DA54" w14:textId="1BDEBCF2" w:rsidR="00DE7258" w:rsidRPr="00DE7258" w:rsidRDefault="00DE7258" w:rsidP="00E333DE">
      <w:pPr>
        <w:pStyle w:val="ListParagraph"/>
        <w:numPr>
          <w:ilvl w:val="0"/>
          <w:numId w:val="9"/>
        </w:numPr>
        <w:rPr>
          <w:noProof/>
        </w:rPr>
      </w:pPr>
      <w:r w:rsidRPr="00DE7258">
        <w:rPr>
          <w:noProof/>
        </w:rPr>
        <w:t>Requirements for UEs which support carrier aggregation of Scells operating with CCA, prior to the addition of an Scell operating with CCA</w:t>
      </w:r>
    </w:p>
    <w:p w14:paraId="4B035F90" w14:textId="66A735C1" w:rsidR="00DE7258" w:rsidRPr="00DE7258" w:rsidRDefault="00DE7258" w:rsidP="00E333DE">
      <w:pPr>
        <w:pStyle w:val="ListParagraph"/>
        <w:numPr>
          <w:ilvl w:val="0"/>
          <w:numId w:val="9"/>
        </w:numPr>
        <w:rPr>
          <w:noProof/>
          <w:u w:val="single"/>
        </w:rPr>
      </w:pPr>
      <w:r w:rsidRPr="00DE7258">
        <w:t>Applicability of requirements after configuring a UE with a CCA serving cell (different columns for scenario A, B,C)</w:t>
      </w:r>
    </w:p>
    <w:p w14:paraId="4E921F09" w14:textId="22C6BF91" w:rsidR="00DE7258" w:rsidRPr="00DE7258" w:rsidRDefault="00DE7258" w:rsidP="00A97180">
      <w:pPr>
        <w:rPr>
          <w:noProof/>
          <w:u w:val="single"/>
        </w:rPr>
      </w:pPr>
      <w:r w:rsidRPr="00DE7258">
        <w:rPr>
          <w:noProof/>
          <w:u w:val="single"/>
        </w:rPr>
        <w:t>36.133</w:t>
      </w:r>
    </w:p>
    <w:p w14:paraId="14C362D7" w14:textId="0408542E" w:rsidR="005E033D" w:rsidRPr="00DE7258" w:rsidRDefault="005E033D" w:rsidP="00E333DE">
      <w:pPr>
        <w:pStyle w:val="ListParagraph"/>
        <w:numPr>
          <w:ilvl w:val="0"/>
          <w:numId w:val="8"/>
        </w:numPr>
        <w:rPr>
          <w:noProof/>
        </w:rPr>
      </w:pPr>
      <w:r w:rsidRPr="00DE7258">
        <w:rPr>
          <w:noProof/>
        </w:rPr>
        <w:t>Monitoring Requirements for UEs prior to configuration of an NR cell operating with CCA</w:t>
      </w:r>
    </w:p>
    <w:p w14:paraId="566E9D45" w14:textId="5CB3D2FA" w:rsidR="005E033D" w:rsidRPr="00DE7258" w:rsidRDefault="005E033D" w:rsidP="00E333DE">
      <w:pPr>
        <w:pStyle w:val="ListParagraph"/>
        <w:numPr>
          <w:ilvl w:val="0"/>
          <w:numId w:val="8"/>
        </w:numPr>
      </w:pPr>
      <w:r w:rsidRPr="00DE7258">
        <w:t>Applicability of requirements for addition of a serving cell with NR CCA</w:t>
      </w:r>
    </w:p>
    <w:p w14:paraId="6C944225" w14:textId="6A48E6AB" w:rsidR="005E033D" w:rsidRDefault="005E033D" w:rsidP="00E333DE">
      <w:pPr>
        <w:pStyle w:val="ListParagraph"/>
        <w:numPr>
          <w:ilvl w:val="0"/>
          <w:numId w:val="8"/>
        </w:numPr>
        <w:rPr>
          <w:lang w:eastAsia="en-GB"/>
        </w:rPr>
      </w:pPr>
      <w:r w:rsidRPr="00DE7258">
        <w:rPr>
          <w:lang w:eastAsia="en-GB"/>
        </w:rPr>
        <w:t>Applicability of requirements for operating with EN-DC with a PSCell using NR CCA</w:t>
      </w:r>
    </w:p>
    <w:p w14:paraId="09C616F3" w14:textId="59A5CE4F" w:rsidR="00DE7258" w:rsidRDefault="00DE7258" w:rsidP="00DE7258">
      <w:pPr>
        <w:rPr>
          <w:lang w:eastAsia="en-GB"/>
        </w:rPr>
      </w:pPr>
    </w:p>
    <w:p w14:paraId="344D5F8F" w14:textId="77777777" w:rsidR="00DE7258" w:rsidRDefault="00DE7258" w:rsidP="00DE7258">
      <w:pPr>
        <w:rPr>
          <w:lang w:eastAsia="en-GB"/>
        </w:rPr>
      </w:pPr>
      <w:r>
        <w:rPr>
          <w:lang w:eastAsia="en-GB"/>
        </w:rPr>
        <w:t xml:space="preserve">We do acknowledge that this high level overview becomes quite difficult to derive and follow, so although we think that an overview has clear benefits, it also creates effort in terms of including and maintaining correct information in the specification. The </w:t>
      </w:r>
      <w:r>
        <w:rPr>
          <w:lang w:eastAsia="en-GB"/>
        </w:rPr>
        <w:lastRenderedPageBreak/>
        <w:t>basic reason is that applicability of requirements for NR-U has many different dimensions, as previously indicated, making it a complicated subject. On the other hand, this is also a good reason why RAN4 should do the work and reach a common understanding of the requirements that are needed, rather than leaving it to individual UE and network design engineers who may have different interpretations.</w:t>
      </w:r>
    </w:p>
    <w:p w14:paraId="48E896F3" w14:textId="70FF4133" w:rsidR="00DE7258" w:rsidRDefault="00DE7258" w:rsidP="00DE7258">
      <w:pPr>
        <w:rPr>
          <w:lang w:eastAsia="en-GB"/>
        </w:rPr>
      </w:pPr>
      <w:r>
        <w:rPr>
          <w:lang w:eastAsia="en-GB"/>
        </w:rPr>
        <w:t xml:space="preserve">The alternative under scenario 2B would be to capture the same information in the individual sections. In this case, </w:t>
      </w:r>
      <w:r w:rsidRPr="00DE7258">
        <w:rPr>
          <w:u w:val="single"/>
          <w:lang w:eastAsia="en-GB"/>
        </w:rPr>
        <w:t>both</w:t>
      </w:r>
      <w:r>
        <w:rPr>
          <w:lang w:eastAsia="en-GB"/>
        </w:rPr>
        <w:t xml:space="preserve"> existing and newly added sections need to be updated. Taking the idle mode example, it is not clear from the existing section 4.2.2.3 wording (which was drafted prior to the introduction of NR-U scenario C)  that the requirements can apply both when the UE operates without NR-U (this part is rather obvious) and </w:t>
      </w:r>
      <w:r>
        <w:rPr>
          <w:u w:val="single"/>
          <w:lang w:eastAsia="en-GB"/>
        </w:rPr>
        <w:t>also</w:t>
      </w:r>
      <w:r>
        <w:rPr>
          <w:lang w:eastAsia="en-GB"/>
        </w:rPr>
        <w:t xml:space="preserve"> when the UE is camped on an NR-U serving cell (which is not obvious). </w:t>
      </w:r>
      <w:r w:rsidR="00627F53">
        <w:rPr>
          <w:lang w:eastAsia="en-GB"/>
        </w:rPr>
        <w:t>Yet the same rule as for inter-frequency applicability (i.e. both 4.2.2.3 and 4.2.2.3A might apply concurrently with either type of serving cell) does not apply for 4.2.2.2 (intra-frequency requirements). Thus we think the main pros and cons of using option 2B would be</w:t>
      </w:r>
    </w:p>
    <w:p w14:paraId="712E0BBF" w14:textId="77777777" w:rsidR="00627F53" w:rsidRDefault="00627F53" w:rsidP="00DE7258">
      <w:pPr>
        <w:rPr>
          <w:b/>
          <w:bCs/>
          <w:lang w:eastAsia="en-GB"/>
        </w:rPr>
      </w:pPr>
      <w:r>
        <w:rPr>
          <w:b/>
          <w:bCs/>
          <w:lang w:eastAsia="en-GB"/>
        </w:rPr>
        <w:t xml:space="preserve">Pros : </w:t>
      </w:r>
    </w:p>
    <w:p w14:paraId="0B753824" w14:textId="205B7F44" w:rsidR="00627F53" w:rsidRDefault="00627F53" w:rsidP="00E333DE">
      <w:pPr>
        <w:pStyle w:val="ListParagraph"/>
        <w:numPr>
          <w:ilvl w:val="0"/>
          <w:numId w:val="11"/>
        </w:numPr>
        <w:rPr>
          <w:lang w:eastAsia="en-GB"/>
        </w:rPr>
      </w:pPr>
      <w:r>
        <w:rPr>
          <w:lang w:eastAsia="en-GB"/>
        </w:rPr>
        <w:t>The individual sections can use any suitable wording as agreed in RAN4 which removes some of the constraints of grouping “like” requirements together in a table in chapter 3, and therefore makes for simplified wording and maintenance.</w:t>
      </w:r>
    </w:p>
    <w:p w14:paraId="0248419A" w14:textId="77777777" w:rsidR="00627F53" w:rsidRDefault="00627F53" w:rsidP="00DE7258">
      <w:pPr>
        <w:rPr>
          <w:b/>
          <w:bCs/>
          <w:lang w:eastAsia="en-GB"/>
        </w:rPr>
      </w:pPr>
      <w:r>
        <w:rPr>
          <w:b/>
          <w:bCs/>
          <w:lang w:eastAsia="en-GB"/>
        </w:rPr>
        <w:t xml:space="preserve">Cons : </w:t>
      </w:r>
    </w:p>
    <w:p w14:paraId="7DCBDB85" w14:textId="29095763" w:rsidR="00627F53" w:rsidRDefault="00627F53" w:rsidP="00E333DE">
      <w:pPr>
        <w:pStyle w:val="ListParagraph"/>
        <w:numPr>
          <w:ilvl w:val="0"/>
          <w:numId w:val="10"/>
        </w:numPr>
        <w:rPr>
          <w:lang w:eastAsia="en-GB"/>
        </w:rPr>
      </w:pPr>
      <w:r>
        <w:rPr>
          <w:lang w:eastAsia="en-GB"/>
        </w:rPr>
        <w:t>There is no top level overview of the full set of requirements that needs to be supported when operating with NR-U and deep understanding of the specification is necessary to get a picture of what needs to be implemented.</w:t>
      </w:r>
    </w:p>
    <w:p w14:paraId="666A2B69" w14:textId="341A8F00" w:rsidR="00627F53" w:rsidRPr="00627F53" w:rsidRDefault="00627F53" w:rsidP="00E333DE">
      <w:pPr>
        <w:pStyle w:val="ListParagraph"/>
        <w:numPr>
          <w:ilvl w:val="0"/>
          <w:numId w:val="10"/>
        </w:numPr>
        <w:rPr>
          <w:lang w:eastAsia="en-GB"/>
        </w:rPr>
      </w:pPr>
      <w:r>
        <w:rPr>
          <w:lang w:eastAsia="en-GB"/>
        </w:rPr>
        <w:t>Many existing sections need to be updated to specify their exact relevancy when a UE has an NR-U serving cell</w:t>
      </w:r>
    </w:p>
    <w:p w14:paraId="7790BEEA" w14:textId="0FD2611E" w:rsidR="005E033D" w:rsidRDefault="00627F53" w:rsidP="00A97180">
      <w:pPr>
        <w:rPr>
          <w:lang w:val="en-US" w:eastAsia="zh-CN"/>
        </w:rPr>
      </w:pPr>
      <w:r>
        <w:rPr>
          <w:lang w:val="en-US" w:eastAsia="zh-CN"/>
        </w:rPr>
        <w:t>When doing planning work for NR-U requirements, we considered the last disadvantage as major, which is why we proposed to use option 1. However, it is also valid to say that there is no “perfect” approach for adding NR-U requirements in 38.133 and the more important aspect is that the information is captured, rather than the style in which it is captured. Hence, although we have a preference towards option 1 based on the planning and work that has been done so far (to avoid adding many applicability type statements in both new and existing sections) we are also fine to consider option 2B provided that the necessary information is captured.</w:t>
      </w:r>
    </w:p>
    <w:p w14:paraId="14E46D5B" w14:textId="756C2303" w:rsidR="00627F53" w:rsidRPr="00627F53" w:rsidRDefault="00627F53" w:rsidP="00A97180">
      <w:pPr>
        <w:rPr>
          <w:b/>
          <w:bCs/>
          <w:lang w:val="en-US" w:eastAsia="zh-CN"/>
        </w:rPr>
      </w:pPr>
      <w:r>
        <w:rPr>
          <w:b/>
          <w:bCs/>
          <w:lang w:val="en-US" w:eastAsia="zh-CN"/>
        </w:rPr>
        <w:t xml:space="preserve">Proposal 2 : RAN4 discusses the pros and cons of option 1 and 2B. Our current preference is towards option </w:t>
      </w:r>
      <w:r w:rsidR="0040021B">
        <w:rPr>
          <w:b/>
          <w:bCs/>
          <w:lang w:val="en-US" w:eastAsia="zh-CN"/>
        </w:rPr>
        <w:t>1</w:t>
      </w: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26EAC726" w14:textId="77777777" w:rsidR="00627F53" w:rsidRDefault="00627F53" w:rsidP="00627F53">
      <w:pPr>
        <w:rPr>
          <w:b/>
          <w:bCs/>
          <w:lang w:val="en-US" w:eastAsia="zh-CN"/>
        </w:rPr>
      </w:pPr>
      <w:r>
        <w:rPr>
          <w:b/>
          <w:bCs/>
          <w:lang w:val="en-US" w:eastAsia="zh-CN"/>
        </w:rPr>
        <w:t>Observation 1 : The set of applicable requirements for a UE at any given time can be a mixture of so called “NR” and “NR-U” requirements depending on at least</w:t>
      </w:r>
    </w:p>
    <w:p w14:paraId="17E6CBC8" w14:textId="4B6342B0" w:rsidR="00627F53" w:rsidRPr="00B73FAE" w:rsidRDefault="00627F53" w:rsidP="00E333DE">
      <w:pPr>
        <w:pStyle w:val="ListParagraph"/>
        <w:numPr>
          <w:ilvl w:val="0"/>
          <w:numId w:val="7"/>
        </w:numPr>
        <w:rPr>
          <w:b/>
          <w:bCs/>
          <w:lang w:val="en-US" w:eastAsia="zh-CN"/>
        </w:rPr>
      </w:pPr>
      <w:r w:rsidRPr="00B73FAE">
        <w:rPr>
          <w:b/>
          <w:bCs/>
          <w:lang w:val="en-US" w:eastAsia="zh-CN"/>
        </w:rPr>
        <w:t>Which NR-U scenarios the UE supports (</w:t>
      </w:r>
      <w:r w:rsidR="0040021B" w:rsidRPr="00B73FAE">
        <w:rPr>
          <w:b/>
          <w:bCs/>
          <w:lang w:val="en-US" w:eastAsia="zh-CN"/>
        </w:rPr>
        <w:t>e.g.</w:t>
      </w:r>
      <w:r w:rsidRPr="00B73FAE">
        <w:rPr>
          <w:b/>
          <w:bCs/>
          <w:lang w:val="en-US" w:eastAsia="zh-CN"/>
        </w:rPr>
        <w:t xml:space="preserve"> scenario A,B, C </w:t>
      </w:r>
      <w:r w:rsidR="0040021B" w:rsidRPr="00B73FAE">
        <w:rPr>
          <w:b/>
          <w:bCs/>
          <w:lang w:val="en-US" w:eastAsia="zh-CN"/>
        </w:rPr>
        <w:t>etc.</w:t>
      </w:r>
      <w:r w:rsidRPr="00B73FAE">
        <w:rPr>
          <w:b/>
          <w:bCs/>
          <w:lang w:val="en-US" w:eastAsia="zh-CN"/>
        </w:rPr>
        <w:t>)</w:t>
      </w:r>
      <w:r w:rsidR="0040021B">
        <w:rPr>
          <w:b/>
          <w:bCs/>
          <w:lang w:val="en-US" w:eastAsia="zh-CN"/>
        </w:rPr>
        <w:t>?</w:t>
      </w:r>
    </w:p>
    <w:p w14:paraId="0C247C5E" w14:textId="3A0246E2" w:rsidR="00627F53" w:rsidRPr="00B73FAE" w:rsidRDefault="00627F53" w:rsidP="00E333DE">
      <w:pPr>
        <w:pStyle w:val="ListParagraph"/>
        <w:numPr>
          <w:ilvl w:val="0"/>
          <w:numId w:val="7"/>
        </w:numPr>
        <w:rPr>
          <w:b/>
          <w:bCs/>
          <w:lang w:val="en-US" w:eastAsia="zh-CN"/>
        </w:rPr>
      </w:pPr>
      <w:r w:rsidRPr="00B73FAE">
        <w:rPr>
          <w:b/>
          <w:bCs/>
          <w:lang w:val="en-US" w:eastAsia="zh-CN"/>
        </w:rPr>
        <w:t>Whether the UE is operating with a serving cell with CCA or without CCA</w:t>
      </w:r>
      <w:r w:rsidR="0040021B">
        <w:rPr>
          <w:b/>
          <w:bCs/>
          <w:lang w:val="en-US" w:eastAsia="zh-CN"/>
        </w:rPr>
        <w:t>?</w:t>
      </w:r>
    </w:p>
    <w:p w14:paraId="2ECA6E00" w14:textId="5E65993D" w:rsidR="00627F53" w:rsidRPr="00627F53" w:rsidRDefault="00627F53" w:rsidP="00E333DE">
      <w:pPr>
        <w:pStyle w:val="ListParagraph"/>
        <w:numPr>
          <w:ilvl w:val="0"/>
          <w:numId w:val="7"/>
        </w:numPr>
        <w:rPr>
          <w:b/>
          <w:bCs/>
          <w:lang w:val="en-US" w:eastAsia="zh-CN"/>
        </w:rPr>
      </w:pPr>
      <w:r w:rsidRPr="00B73FAE">
        <w:rPr>
          <w:b/>
          <w:bCs/>
          <w:lang w:val="en-US" w:eastAsia="zh-CN"/>
        </w:rPr>
        <w:t xml:space="preserve">What type of inter-frequency neighbor cells are configured (with CCA, without </w:t>
      </w:r>
      <w:r w:rsidR="0040021B" w:rsidRPr="00B73FAE">
        <w:rPr>
          <w:b/>
          <w:bCs/>
          <w:lang w:val="en-US" w:eastAsia="zh-CN"/>
        </w:rPr>
        <w:t>CCA</w:t>
      </w:r>
      <w:r w:rsidRPr="00B73FAE">
        <w:rPr>
          <w:b/>
          <w:bCs/>
          <w:lang w:val="en-US" w:eastAsia="zh-CN"/>
        </w:rPr>
        <w:t xml:space="preserve"> mixed)</w:t>
      </w:r>
      <w:r w:rsidR="0040021B">
        <w:rPr>
          <w:b/>
          <w:bCs/>
          <w:lang w:val="en-US" w:eastAsia="zh-CN"/>
        </w:rPr>
        <w:t>?</w:t>
      </w:r>
    </w:p>
    <w:p w14:paraId="31E4E236" w14:textId="770FA8C4" w:rsidR="00627F53" w:rsidRPr="007E7E44" w:rsidRDefault="00627F53" w:rsidP="00627F53">
      <w:pPr>
        <w:rPr>
          <w:b/>
          <w:bCs/>
        </w:rPr>
      </w:pPr>
      <w:r w:rsidRPr="007E7E44">
        <w:rPr>
          <w:b/>
          <w:bCs/>
        </w:rPr>
        <w:t xml:space="preserve">Observation 2 : A </w:t>
      </w:r>
      <w:r w:rsidRPr="007E7E44">
        <w:rPr>
          <w:b/>
          <w:bCs/>
          <w:lang w:val="en-US" w:eastAsia="zh-CN"/>
        </w:rPr>
        <w:t xml:space="preserve">statement that </w:t>
      </w:r>
      <w:r w:rsidRPr="007E7E44">
        <w:rPr>
          <w:b/>
          <w:bCs/>
        </w:rPr>
        <w:t>that “</w:t>
      </w:r>
      <w:r w:rsidRPr="00224C66">
        <w:rPr>
          <w:b/>
          <w:bCs/>
        </w:rPr>
        <w:t>all sections by default applicable for NR-U</w:t>
      </w:r>
      <w:r w:rsidRPr="007E7E44">
        <w:rPr>
          <w:b/>
          <w:bCs/>
        </w:rPr>
        <w:t>” is not meaningful, since the meaning of “NR-U” varies from section to section.</w:t>
      </w:r>
    </w:p>
    <w:p w14:paraId="2095E7A8" w14:textId="520CA4D0" w:rsidR="00627F53" w:rsidRPr="00627F53" w:rsidRDefault="00627F53" w:rsidP="00627F53">
      <w:pPr>
        <w:rPr>
          <w:b/>
          <w:bCs/>
        </w:rPr>
      </w:pPr>
      <w:r w:rsidRPr="007E7E44">
        <w:rPr>
          <w:b/>
          <w:bCs/>
        </w:rPr>
        <w:t xml:space="preserve">Observation </w:t>
      </w:r>
      <w:r>
        <w:rPr>
          <w:b/>
          <w:bCs/>
        </w:rPr>
        <w:t>3</w:t>
      </w:r>
      <w:r w:rsidRPr="007E7E44">
        <w:rPr>
          <w:b/>
          <w:bCs/>
        </w:rPr>
        <w:t xml:space="preserve"> : A </w:t>
      </w:r>
      <w:r w:rsidRPr="007E7E44">
        <w:rPr>
          <w:b/>
          <w:bCs/>
          <w:lang w:val="en-US" w:eastAsia="zh-CN"/>
        </w:rPr>
        <w:t xml:space="preserve">statement that </w:t>
      </w:r>
      <w:r w:rsidRPr="007E7E44">
        <w:rPr>
          <w:b/>
          <w:bCs/>
        </w:rPr>
        <w:t>that “</w:t>
      </w:r>
      <w:r w:rsidRPr="00224C66">
        <w:rPr>
          <w:b/>
          <w:bCs/>
        </w:rPr>
        <w:t>all sections by default applicable for NR-U</w:t>
      </w:r>
      <w:r w:rsidRPr="007E7E44">
        <w:rPr>
          <w:b/>
          <w:bCs/>
        </w:rPr>
        <w:t xml:space="preserve">” </w:t>
      </w:r>
      <w:r>
        <w:rPr>
          <w:b/>
          <w:bCs/>
        </w:rPr>
        <w:t>may create future problems when adding new features if they do not apply to NR-U and it is forgotten to exclude them.</w:t>
      </w:r>
    </w:p>
    <w:p w14:paraId="4762DCD2" w14:textId="486688AB" w:rsidR="00627F53" w:rsidRPr="00627F53" w:rsidRDefault="00627F53" w:rsidP="00627F53">
      <w:pPr>
        <w:rPr>
          <w:b/>
          <w:bCs/>
          <w:lang w:val="en-US" w:eastAsia="zh-CN"/>
        </w:rPr>
      </w:pPr>
      <w:r>
        <w:rPr>
          <w:b/>
          <w:bCs/>
          <w:lang w:val="en-US" w:eastAsia="zh-CN"/>
        </w:rPr>
        <w:t>Proposal 1 : RAN4 excludes option 2a, which is “</w:t>
      </w:r>
      <w:r w:rsidRPr="00224C66">
        <w:rPr>
          <w:b/>
          <w:bCs/>
        </w:rPr>
        <w:t>no applicability section, assume all sections by default applicable for NR-U</w:t>
      </w:r>
      <w:r>
        <w:rPr>
          <w:b/>
          <w:bCs/>
          <w:lang w:val="en-US" w:eastAsia="zh-CN"/>
        </w:rPr>
        <w:t>”</w:t>
      </w:r>
    </w:p>
    <w:p w14:paraId="36BE4D44" w14:textId="0EDA5E51" w:rsidR="00627F53" w:rsidRPr="00627F53" w:rsidRDefault="00627F53" w:rsidP="00627F53">
      <w:pPr>
        <w:rPr>
          <w:b/>
          <w:bCs/>
          <w:lang w:val="en-US" w:eastAsia="zh-CN"/>
        </w:rPr>
      </w:pPr>
      <w:r>
        <w:rPr>
          <w:b/>
          <w:bCs/>
          <w:lang w:val="en-US" w:eastAsia="zh-CN"/>
        </w:rPr>
        <w:t xml:space="preserve">Proposal 2 : RAN4 discusses the pros and cons of option 1 and 2B. Our current preference is towards option </w:t>
      </w:r>
      <w:r w:rsidR="0040021B">
        <w:rPr>
          <w:b/>
          <w:bCs/>
          <w:lang w:val="en-US" w:eastAsia="zh-CN"/>
        </w:rPr>
        <w:t>1</w:t>
      </w:r>
    </w:p>
    <w:p w14:paraId="5E0B2536" w14:textId="77777777" w:rsidR="00E5431A" w:rsidRPr="00153940" w:rsidRDefault="00E5431A"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3B327294" w:rsidR="003F08E6" w:rsidRDefault="007968F6" w:rsidP="007968F6">
      <w:pPr>
        <w:pStyle w:val="3GPPNormalText"/>
        <w:numPr>
          <w:ilvl w:val="0"/>
          <w:numId w:val="5"/>
        </w:numPr>
        <w:rPr>
          <w:szCs w:val="20"/>
          <w:lang w:eastAsia="zh-CN"/>
        </w:rPr>
      </w:pPr>
      <w:bookmarkStart w:id="1" w:name="_Ref37326348"/>
      <w:r w:rsidRPr="007968F6">
        <w:rPr>
          <w:szCs w:val="20"/>
          <w:lang w:eastAsia="zh-CN"/>
        </w:rPr>
        <w:t>R4-20023</w:t>
      </w:r>
      <w:r w:rsidR="00224C66">
        <w:rPr>
          <w:szCs w:val="20"/>
          <w:lang w:eastAsia="zh-CN"/>
        </w:rPr>
        <w:t>31</w:t>
      </w:r>
      <w:r w:rsidRPr="007968F6">
        <w:rPr>
          <w:szCs w:val="20"/>
          <w:lang w:eastAsia="zh-CN"/>
        </w:rPr>
        <w:t xml:space="preserve">  </w:t>
      </w:r>
      <w:r w:rsidR="00224C66">
        <w:rPr>
          <w:szCs w:val="20"/>
          <w:lang w:eastAsia="zh-CN"/>
        </w:rPr>
        <w:t>“</w:t>
      </w:r>
      <w:r w:rsidR="00224C66" w:rsidRPr="00224C66">
        <w:rPr>
          <w:szCs w:val="20"/>
          <w:lang w:val="en-GB" w:eastAsia="zh-CN"/>
        </w:rPr>
        <w:t>WF on NR-U RRM Requirements (Part 1) (all agreements in RAN4#94-e in email thread #46)</w:t>
      </w:r>
      <w:r w:rsidR="00224C66">
        <w:rPr>
          <w:szCs w:val="20"/>
          <w:lang w:eastAsia="zh-CN"/>
        </w:rPr>
        <w:t>”, Ericsson</w:t>
      </w:r>
      <w:bookmarkEnd w:id="1"/>
    </w:p>
    <w:p w14:paraId="7B17FF08" w14:textId="474F335C" w:rsidR="007968F6" w:rsidRDefault="00224C66" w:rsidP="00224C66">
      <w:pPr>
        <w:pStyle w:val="3GPPNormalText"/>
        <w:numPr>
          <w:ilvl w:val="0"/>
          <w:numId w:val="5"/>
        </w:numPr>
        <w:rPr>
          <w:szCs w:val="20"/>
          <w:lang w:eastAsia="zh-CN"/>
        </w:rPr>
      </w:pPr>
      <w:bookmarkStart w:id="2" w:name="_Ref36560016"/>
      <w:r w:rsidRPr="00224C66">
        <w:rPr>
          <w:szCs w:val="20"/>
          <w:lang w:eastAsia="zh-CN"/>
        </w:rPr>
        <w:lastRenderedPageBreak/>
        <w:t>R4-1914628</w:t>
      </w:r>
      <w:r>
        <w:rPr>
          <w:szCs w:val="20"/>
          <w:lang w:eastAsia="zh-CN"/>
        </w:rPr>
        <w:t xml:space="preserve"> “</w:t>
      </w:r>
      <w:r w:rsidRPr="00224C66">
        <w:rPr>
          <w:szCs w:val="20"/>
          <w:lang w:eastAsia="zh-CN"/>
        </w:rPr>
        <w:t>Updates to outline specification structure for 36.133 and 38.133 NR-U requirements</w:t>
      </w:r>
      <w:r>
        <w:rPr>
          <w:szCs w:val="20"/>
          <w:lang w:eastAsia="zh-CN"/>
        </w:rPr>
        <w:t>”</w:t>
      </w:r>
      <w:r w:rsidRPr="00224C66">
        <w:rPr>
          <w:szCs w:val="20"/>
          <w:lang w:eastAsia="zh-CN"/>
        </w:rPr>
        <w:tab/>
        <w:t>Ericsson</w:t>
      </w:r>
      <w:bookmarkEnd w:id="2"/>
    </w:p>
    <w:sectPr w:rsidR="007968F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7B369" w14:textId="77777777" w:rsidR="002B2DBA" w:rsidRDefault="002B2DBA">
      <w:r>
        <w:separator/>
      </w:r>
    </w:p>
  </w:endnote>
  <w:endnote w:type="continuationSeparator" w:id="0">
    <w:p w14:paraId="42A650AE" w14:textId="77777777" w:rsidR="002B2DBA" w:rsidRDefault="002B2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D9AEF9" w14:textId="77777777" w:rsidR="002B2DBA" w:rsidRDefault="002B2DBA">
      <w:r>
        <w:separator/>
      </w:r>
    </w:p>
  </w:footnote>
  <w:footnote w:type="continuationSeparator" w:id="0">
    <w:p w14:paraId="5C0C5CD6" w14:textId="77777777" w:rsidR="002B2DBA" w:rsidRDefault="002B2D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F509E"/>
    <w:multiLevelType w:val="hybridMultilevel"/>
    <w:tmpl w:val="64B0349A"/>
    <w:lvl w:ilvl="0" w:tplc="399A4460">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3" w15:restartNumberingAfterBreak="0">
    <w:nsid w:val="37C5471E"/>
    <w:multiLevelType w:val="hybridMultilevel"/>
    <w:tmpl w:val="03C602C8"/>
    <w:lvl w:ilvl="0" w:tplc="399A4460">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A4956"/>
    <w:multiLevelType w:val="hybridMultilevel"/>
    <w:tmpl w:val="71DC6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44C56E9A"/>
    <w:multiLevelType w:val="hybridMultilevel"/>
    <w:tmpl w:val="D49C1B2C"/>
    <w:lvl w:ilvl="0" w:tplc="399A4460">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33620D"/>
    <w:multiLevelType w:val="hybridMultilevel"/>
    <w:tmpl w:val="CCC40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BC3B9F"/>
    <w:multiLevelType w:val="hybridMultilevel"/>
    <w:tmpl w:val="FBE051A8"/>
    <w:lvl w:ilvl="0" w:tplc="399A4460">
      <w:start w:val="4"/>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9"/>
  </w:num>
  <w:num w:numId="3">
    <w:abstractNumId w:val="10"/>
  </w:num>
  <w:num w:numId="4">
    <w:abstractNumId w:val="1"/>
  </w:num>
  <w:num w:numId="5">
    <w:abstractNumId w:val="2"/>
  </w:num>
  <w:num w:numId="6">
    <w:abstractNumId w:val="0"/>
  </w:num>
  <w:num w:numId="7">
    <w:abstractNumId w:val="6"/>
  </w:num>
  <w:num w:numId="8">
    <w:abstractNumId w:val="8"/>
  </w:num>
  <w:num w:numId="9">
    <w:abstractNumId w:val="3"/>
  </w:num>
  <w:num w:numId="10">
    <w:abstractNumId w:val="7"/>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C11"/>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41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2E2"/>
    <w:rsid w:val="002244E0"/>
    <w:rsid w:val="002247C0"/>
    <w:rsid w:val="00224C66"/>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26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2DBA"/>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3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2A9"/>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37B68"/>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001"/>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973"/>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21B"/>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2C6"/>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4E2E"/>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33D"/>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27"/>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279E6"/>
    <w:rsid w:val="00627F53"/>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6A4C"/>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8F6"/>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E7E44"/>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80"/>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A50"/>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3FAE"/>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291"/>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1DB"/>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4F9E"/>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58"/>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ACD"/>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3DE"/>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31A"/>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519"/>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64056767">
      <w:bodyDiv w:val="1"/>
      <w:marLeft w:val="0"/>
      <w:marRight w:val="0"/>
      <w:marTop w:val="0"/>
      <w:marBottom w:val="0"/>
      <w:divBdr>
        <w:top w:val="none" w:sz="0" w:space="0" w:color="auto"/>
        <w:left w:val="none" w:sz="0" w:space="0" w:color="auto"/>
        <w:bottom w:val="none" w:sz="0" w:space="0" w:color="auto"/>
        <w:right w:val="none" w:sz="0" w:space="0" w:color="auto"/>
      </w:divBdr>
      <w:divsChild>
        <w:div w:id="1999335111">
          <w:marLeft w:val="1166"/>
          <w:marRight w:val="0"/>
          <w:marTop w:val="0"/>
          <w:marBottom w:val="0"/>
          <w:divBdr>
            <w:top w:val="none" w:sz="0" w:space="0" w:color="auto"/>
            <w:left w:val="none" w:sz="0" w:space="0" w:color="auto"/>
            <w:bottom w:val="none" w:sz="0" w:space="0" w:color="auto"/>
            <w:right w:val="none" w:sz="0" w:space="0" w:color="auto"/>
          </w:divBdr>
        </w:div>
        <w:div w:id="242299001">
          <w:marLeft w:val="1166"/>
          <w:marRight w:val="0"/>
          <w:marTop w:val="0"/>
          <w:marBottom w:val="0"/>
          <w:divBdr>
            <w:top w:val="none" w:sz="0" w:space="0" w:color="auto"/>
            <w:left w:val="none" w:sz="0" w:space="0" w:color="auto"/>
            <w:bottom w:val="none" w:sz="0" w:space="0" w:color="auto"/>
            <w:right w:val="none" w:sz="0" w:space="0" w:color="auto"/>
          </w:divBdr>
        </w:div>
        <w:div w:id="2043820275">
          <w:marLeft w:val="1166"/>
          <w:marRight w:val="0"/>
          <w:marTop w:val="0"/>
          <w:marBottom w:val="0"/>
          <w:divBdr>
            <w:top w:val="none" w:sz="0" w:space="0" w:color="auto"/>
            <w:left w:val="none" w:sz="0" w:space="0" w:color="auto"/>
            <w:bottom w:val="none" w:sz="0" w:space="0" w:color="auto"/>
            <w:right w:val="none" w:sz="0" w:space="0" w:color="auto"/>
          </w:divBdr>
        </w:div>
        <w:div w:id="321812020">
          <w:marLeft w:val="1166"/>
          <w:marRight w:val="0"/>
          <w:marTop w:val="0"/>
          <w:marBottom w:val="0"/>
          <w:divBdr>
            <w:top w:val="none" w:sz="0" w:space="0" w:color="auto"/>
            <w:left w:val="none" w:sz="0" w:space="0" w:color="auto"/>
            <w:bottom w:val="none" w:sz="0" w:space="0" w:color="auto"/>
            <w:right w:val="none" w:sz="0" w:space="0" w:color="auto"/>
          </w:divBdr>
        </w:div>
        <w:div w:id="115410837">
          <w:marLeft w:val="1166"/>
          <w:marRight w:val="0"/>
          <w:marTop w:val="0"/>
          <w:marBottom w:val="0"/>
          <w:divBdr>
            <w:top w:val="none" w:sz="0" w:space="0" w:color="auto"/>
            <w:left w:val="none" w:sz="0" w:space="0" w:color="auto"/>
            <w:bottom w:val="none" w:sz="0" w:space="0" w:color="auto"/>
            <w:right w:val="none" w:sz="0" w:space="0" w:color="auto"/>
          </w:divBdr>
        </w:div>
        <w:div w:id="1181352360">
          <w:marLeft w:val="1166"/>
          <w:marRight w:val="0"/>
          <w:marTop w:val="0"/>
          <w:marBottom w:val="0"/>
          <w:divBdr>
            <w:top w:val="none" w:sz="0" w:space="0" w:color="auto"/>
            <w:left w:val="none" w:sz="0" w:space="0" w:color="auto"/>
            <w:bottom w:val="none" w:sz="0" w:space="0" w:color="auto"/>
            <w:right w:val="none" w:sz="0" w:space="0" w:color="auto"/>
          </w:divBdr>
        </w:div>
        <w:div w:id="713818376">
          <w:marLeft w:val="1886"/>
          <w:marRight w:val="0"/>
          <w:marTop w:val="0"/>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939417">
      <w:bodyDiv w:val="1"/>
      <w:marLeft w:val="0"/>
      <w:marRight w:val="0"/>
      <w:marTop w:val="0"/>
      <w:marBottom w:val="0"/>
      <w:divBdr>
        <w:top w:val="none" w:sz="0" w:space="0" w:color="auto"/>
        <w:left w:val="none" w:sz="0" w:space="0" w:color="auto"/>
        <w:bottom w:val="none" w:sz="0" w:space="0" w:color="auto"/>
        <w:right w:val="none" w:sz="0" w:space="0" w:color="auto"/>
      </w:divBdr>
    </w:div>
    <w:div w:id="404256636">
      <w:bodyDiv w:val="1"/>
      <w:marLeft w:val="0"/>
      <w:marRight w:val="0"/>
      <w:marTop w:val="0"/>
      <w:marBottom w:val="0"/>
      <w:divBdr>
        <w:top w:val="none" w:sz="0" w:space="0" w:color="auto"/>
        <w:left w:val="none" w:sz="0" w:space="0" w:color="auto"/>
        <w:bottom w:val="none" w:sz="0" w:space="0" w:color="auto"/>
        <w:right w:val="none" w:sz="0" w:space="0" w:color="auto"/>
      </w:divBdr>
    </w:div>
    <w:div w:id="472678087">
      <w:bodyDiv w:val="1"/>
      <w:marLeft w:val="0"/>
      <w:marRight w:val="0"/>
      <w:marTop w:val="0"/>
      <w:marBottom w:val="0"/>
      <w:divBdr>
        <w:top w:val="none" w:sz="0" w:space="0" w:color="auto"/>
        <w:left w:val="none" w:sz="0" w:space="0" w:color="auto"/>
        <w:bottom w:val="none" w:sz="0" w:space="0" w:color="auto"/>
        <w:right w:val="none" w:sz="0" w:space="0" w:color="auto"/>
      </w:divBdr>
      <w:divsChild>
        <w:div w:id="944536190">
          <w:marLeft w:val="1166"/>
          <w:marRight w:val="0"/>
          <w:marTop w:val="0"/>
          <w:marBottom w:val="0"/>
          <w:divBdr>
            <w:top w:val="none" w:sz="0" w:space="0" w:color="auto"/>
            <w:left w:val="none" w:sz="0" w:space="0" w:color="auto"/>
            <w:bottom w:val="none" w:sz="0" w:space="0" w:color="auto"/>
            <w:right w:val="none" w:sz="0" w:space="0" w:color="auto"/>
          </w:divBdr>
        </w:div>
        <w:div w:id="1507787791">
          <w:marLeft w:val="1166"/>
          <w:marRight w:val="0"/>
          <w:marTop w:val="0"/>
          <w:marBottom w:val="0"/>
          <w:divBdr>
            <w:top w:val="none" w:sz="0" w:space="0" w:color="auto"/>
            <w:left w:val="none" w:sz="0" w:space="0" w:color="auto"/>
            <w:bottom w:val="none" w:sz="0" w:space="0" w:color="auto"/>
            <w:right w:val="none" w:sz="0" w:space="0" w:color="auto"/>
          </w:divBdr>
        </w:div>
        <w:div w:id="2051031485">
          <w:marLeft w:val="1166"/>
          <w:marRight w:val="0"/>
          <w:marTop w:val="0"/>
          <w:marBottom w:val="0"/>
          <w:divBdr>
            <w:top w:val="none" w:sz="0" w:space="0" w:color="auto"/>
            <w:left w:val="none" w:sz="0" w:space="0" w:color="auto"/>
            <w:bottom w:val="none" w:sz="0" w:space="0" w:color="auto"/>
            <w:right w:val="none" w:sz="0" w:space="0" w:color="auto"/>
          </w:divBdr>
        </w:div>
        <w:div w:id="1714160756">
          <w:marLeft w:val="1166"/>
          <w:marRight w:val="0"/>
          <w:marTop w:val="0"/>
          <w:marBottom w:val="0"/>
          <w:divBdr>
            <w:top w:val="none" w:sz="0" w:space="0" w:color="auto"/>
            <w:left w:val="none" w:sz="0" w:space="0" w:color="auto"/>
            <w:bottom w:val="none" w:sz="0" w:space="0" w:color="auto"/>
            <w:right w:val="none" w:sz="0" w:space="0" w:color="auto"/>
          </w:divBdr>
        </w:div>
        <w:div w:id="916013652">
          <w:marLeft w:val="1166"/>
          <w:marRight w:val="0"/>
          <w:marTop w:val="0"/>
          <w:marBottom w:val="0"/>
          <w:divBdr>
            <w:top w:val="none" w:sz="0" w:space="0" w:color="auto"/>
            <w:left w:val="none" w:sz="0" w:space="0" w:color="auto"/>
            <w:bottom w:val="none" w:sz="0" w:space="0" w:color="auto"/>
            <w:right w:val="none" w:sz="0" w:space="0" w:color="auto"/>
          </w:divBdr>
        </w:div>
        <w:div w:id="2058622919">
          <w:marLeft w:val="1166"/>
          <w:marRight w:val="0"/>
          <w:marTop w:val="0"/>
          <w:marBottom w:val="0"/>
          <w:divBdr>
            <w:top w:val="none" w:sz="0" w:space="0" w:color="auto"/>
            <w:left w:val="none" w:sz="0" w:space="0" w:color="auto"/>
            <w:bottom w:val="none" w:sz="0" w:space="0" w:color="auto"/>
            <w:right w:val="none" w:sz="0" w:space="0" w:color="auto"/>
          </w:divBdr>
        </w:div>
        <w:div w:id="550776672">
          <w:marLeft w:val="1886"/>
          <w:marRight w:val="0"/>
          <w:marTop w:val="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690030506">
      <w:bodyDiv w:val="1"/>
      <w:marLeft w:val="0"/>
      <w:marRight w:val="0"/>
      <w:marTop w:val="0"/>
      <w:marBottom w:val="0"/>
      <w:divBdr>
        <w:top w:val="none" w:sz="0" w:space="0" w:color="auto"/>
        <w:left w:val="none" w:sz="0" w:space="0" w:color="auto"/>
        <w:bottom w:val="none" w:sz="0" w:space="0" w:color="auto"/>
        <w:right w:val="none" w:sz="0" w:space="0" w:color="auto"/>
      </w:divBdr>
      <w:divsChild>
        <w:div w:id="210002195">
          <w:marLeft w:val="1166"/>
          <w:marRight w:val="0"/>
          <w:marTop w:val="0"/>
          <w:marBottom w:val="0"/>
          <w:divBdr>
            <w:top w:val="none" w:sz="0" w:space="0" w:color="auto"/>
            <w:left w:val="none" w:sz="0" w:space="0" w:color="auto"/>
            <w:bottom w:val="none" w:sz="0" w:space="0" w:color="auto"/>
            <w:right w:val="none" w:sz="0" w:space="0" w:color="auto"/>
          </w:divBdr>
        </w:div>
        <w:div w:id="1153302758">
          <w:marLeft w:val="1166"/>
          <w:marRight w:val="0"/>
          <w:marTop w:val="0"/>
          <w:marBottom w:val="0"/>
          <w:divBdr>
            <w:top w:val="none" w:sz="0" w:space="0" w:color="auto"/>
            <w:left w:val="none" w:sz="0" w:space="0" w:color="auto"/>
            <w:bottom w:val="none" w:sz="0" w:space="0" w:color="auto"/>
            <w:right w:val="none" w:sz="0" w:space="0" w:color="auto"/>
          </w:divBdr>
        </w:div>
        <w:div w:id="1957982264">
          <w:marLeft w:val="1166"/>
          <w:marRight w:val="0"/>
          <w:marTop w:val="0"/>
          <w:marBottom w:val="0"/>
          <w:divBdr>
            <w:top w:val="none" w:sz="0" w:space="0" w:color="auto"/>
            <w:left w:val="none" w:sz="0" w:space="0" w:color="auto"/>
            <w:bottom w:val="none" w:sz="0" w:space="0" w:color="auto"/>
            <w:right w:val="none" w:sz="0" w:space="0" w:color="auto"/>
          </w:divBdr>
        </w:div>
        <w:div w:id="722947494">
          <w:marLeft w:val="1166"/>
          <w:marRight w:val="0"/>
          <w:marTop w:val="0"/>
          <w:marBottom w:val="0"/>
          <w:divBdr>
            <w:top w:val="none" w:sz="0" w:space="0" w:color="auto"/>
            <w:left w:val="none" w:sz="0" w:space="0" w:color="auto"/>
            <w:bottom w:val="none" w:sz="0" w:space="0" w:color="auto"/>
            <w:right w:val="none" w:sz="0" w:space="0" w:color="auto"/>
          </w:divBdr>
        </w:div>
        <w:div w:id="462308084">
          <w:marLeft w:val="1166"/>
          <w:marRight w:val="0"/>
          <w:marTop w:val="0"/>
          <w:marBottom w:val="0"/>
          <w:divBdr>
            <w:top w:val="none" w:sz="0" w:space="0" w:color="auto"/>
            <w:left w:val="none" w:sz="0" w:space="0" w:color="auto"/>
            <w:bottom w:val="none" w:sz="0" w:space="0" w:color="auto"/>
            <w:right w:val="none" w:sz="0" w:space="0" w:color="auto"/>
          </w:divBdr>
        </w:div>
        <w:div w:id="352535533">
          <w:marLeft w:val="1166"/>
          <w:marRight w:val="0"/>
          <w:marTop w:val="0"/>
          <w:marBottom w:val="0"/>
          <w:divBdr>
            <w:top w:val="none" w:sz="0" w:space="0" w:color="auto"/>
            <w:left w:val="none" w:sz="0" w:space="0" w:color="auto"/>
            <w:bottom w:val="none" w:sz="0" w:space="0" w:color="auto"/>
            <w:right w:val="none" w:sz="0" w:space="0" w:color="auto"/>
          </w:divBdr>
        </w:div>
        <w:div w:id="1360355359">
          <w:marLeft w:val="1886"/>
          <w:marRight w:val="0"/>
          <w:marTop w:val="0"/>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756345">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24903239">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37323945">
      <w:bodyDiv w:val="1"/>
      <w:marLeft w:val="0"/>
      <w:marRight w:val="0"/>
      <w:marTop w:val="0"/>
      <w:marBottom w:val="0"/>
      <w:divBdr>
        <w:top w:val="none" w:sz="0" w:space="0" w:color="auto"/>
        <w:left w:val="none" w:sz="0" w:space="0" w:color="auto"/>
        <w:bottom w:val="none" w:sz="0" w:space="0" w:color="auto"/>
        <w:right w:val="none" w:sz="0" w:space="0" w:color="auto"/>
      </w:divBdr>
      <w:divsChild>
        <w:div w:id="898437996">
          <w:marLeft w:val="1166"/>
          <w:marRight w:val="0"/>
          <w:marTop w:val="0"/>
          <w:marBottom w:val="0"/>
          <w:divBdr>
            <w:top w:val="none" w:sz="0" w:space="0" w:color="auto"/>
            <w:left w:val="none" w:sz="0" w:space="0" w:color="auto"/>
            <w:bottom w:val="none" w:sz="0" w:space="0" w:color="auto"/>
            <w:right w:val="none" w:sz="0" w:space="0" w:color="auto"/>
          </w:divBdr>
        </w:div>
        <w:div w:id="693505013">
          <w:marLeft w:val="1166"/>
          <w:marRight w:val="0"/>
          <w:marTop w:val="0"/>
          <w:marBottom w:val="0"/>
          <w:divBdr>
            <w:top w:val="none" w:sz="0" w:space="0" w:color="auto"/>
            <w:left w:val="none" w:sz="0" w:space="0" w:color="auto"/>
            <w:bottom w:val="none" w:sz="0" w:space="0" w:color="auto"/>
            <w:right w:val="none" w:sz="0" w:space="0" w:color="auto"/>
          </w:divBdr>
        </w:div>
        <w:div w:id="40592565">
          <w:marLeft w:val="1166"/>
          <w:marRight w:val="0"/>
          <w:marTop w:val="0"/>
          <w:marBottom w:val="0"/>
          <w:divBdr>
            <w:top w:val="none" w:sz="0" w:space="0" w:color="auto"/>
            <w:left w:val="none" w:sz="0" w:space="0" w:color="auto"/>
            <w:bottom w:val="none" w:sz="0" w:space="0" w:color="auto"/>
            <w:right w:val="none" w:sz="0" w:space="0" w:color="auto"/>
          </w:divBdr>
        </w:div>
        <w:div w:id="583496932">
          <w:marLeft w:val="1166"/>
          <w:marRight w:val="0"/>
          <w:marTop w:val="0"/>
          <w:marBottom w:val="0"/>
          <w:divBdr>
            <w:top w:val="none" w:sz="0" w:space="0" w:color="auto"/>
            <w:left w:val="none" w:sz="0" w:space="0" w:color="auto"/>
            <w:bottom w:val="none" w:sz="0" w:space="0" w:color="auto"/>
            <w:right w:val="none" w:sz="0" w:space="0" w:color="auto"/>
          </w:divBdr>
        </w:div>
        <w:div w:id="511989896">
          <w:marLeft w:val="1166"/>
          <w:marRight w:val="0"/>
          <w:marTop w:val="0"/>
          <w:marBottom w:val="0"/>
          <w:divBdr>
            <w:top w:val="none" w:sz="0" w:space="0" w:color="auto"/>
            <w:left w:val="none" w:sz="0" w:space="0" w:color="auto"/>
            <w:bottom w:val="none" w:sz="0" w:space="0" w:color="auto"/>
            <w:right w:val="none" w:sz="0" w:space="0" w:color="auto"/>
          </w:divBdr>
        </w:div>
        <w:div w:id="2079664772">
          <w:marLeft w:val="1166"/>
          <w:marRight w:val="0"/>
          <w:marTop w:val="0"/>
          <w:marBottom w:val="0"/>
          <w:divBdr>
            <w:top w:val="none" w:sz="0" w:space="0" w:color="auto"/>
            <w:left w:val="none" w:sz="0" w:space="0" w:color="auto"/>
            <w:bottom w:val="none" w:sz="0" w:space="0" w:color="auto"/>
            <w:right w:val="none" w:sz="0" w:space="0" w:color="auto"/>
          </w:divBdr>
        </w:div>
        <w:div w:id="802817740">
          <w:marLeft w:val="1886"/>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73925043">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15468114">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4692775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9583787">
      <w:bodyDiv w:val="1"/>
      <w:marLeft w:val="0"/>
      <w:marRight w:val="0"/>
      <w:marTop w:val="0"/>
      <w:marBottom w:val="0"/>
      <w:divBdr>
        <w:top w:val="none" w:sz="0" w:space="0" w:color="auto"/>
        <w:left w:val="none" w:sz="0" w:space="0" w:color="auto"/>
        <w:bottom w:val="none" w:sz="0" w:space="0" w:color="auto"/>
        <w:right w:val="none" w:sz="0" w:space="0" w:color="auto"/>
      </w:divBdr>
      <w:divsChild>
        <w:div w:id="1816677599">
          <w:marLeft w:val="1166"/>
          <w:marRight w:val="0"/>
          <w:marTop w:val="0"/>
          <w:marBottom w:val="0"/>
          <w:divBdr>
            <w:top w:val="none" w:sz="0" w:space="0" w:color="auto"/>
            <w:left w:val="none" w:sz="0" w:space="0" w:color="auto"/>
            <w:bottom w:val="none" w:sz="0" w:space="0" w:color="auto"/>
            <w:right w:val="none" w:sz="0" w:space="0" w:color="auto"/>
          </w:divBdr>
        </w:div>
        <w:div w:id="251594389">
          <w:marLeft w:val="1166"/>
          <w:marRight w:val="0"/>
          <w:marTop w:val="0"/>
          <w:marBottom w:val="0"/>
          <w:divBdr>
            <w:top w:val="none" w:sz="0" w:space="0" w:color="auto"/>
            <w:left w:val="none" w:sz="0" w:space="0" w:color="auto"/>
            <w:bottom w:val="none" w:sz="0" w:space="0" w:color="auto"/>
            <w:right w:val="none" w:sz="0" w:space="0" w:color="auto"/>
          </w:divBdr>
        </w:div>
        <w:div w:id="1387795929">
          <w:marLeft w:val="1166"/>
          <w:marRight w:val="0"/>
          <w:marTop w:val="0"/>
          <w:marBottom w:val="0"/>
          <w:divBdr>
            <w:top w:val="none" w:sz="0" w:space="0" w:color="auto"/>
            <w:left w:val="none" w:sz="0" w:space="0" w:color="auto"/>
            <w:bottom w:val="none" w:sz="0" w:space="0" w:color="auto"/>
            <w:right w:val="none" w:sz="0" w:space="0" w:color="auto"/>
          </w:divBdr>
        </w:div>
        <w:div w:id="130245721">
          <w:marLeft w:val="1166"/>
          <w:marRight w:val="0"/>
          <w:marTop w:val="0"/>
          <w:marBottom w:val="0"/>
          <w:divBdr>
            <w:top w:val="none" w:sz="0" w:space="0" w:color="auto"/>
            <w:left w:val="none" w:sz="0" w:space="0" w:color="auto"/>
            <w:bottom w:val="none" w:sz="0" w:space="0" w:color="auto"/>
            <w:right w:val="none" w:sz="0" w:space="0" w:color="auto"/>
          </w:divBdr>
        </w:div>
        <w:div w:id="311447950">
          <w:marLeft w:val="1166"/>
          <w:marRight w:val="0"/>
          <w:marTop w:val="0"/>
          <w:marBottom w:val="0"/>
          <w:divBdr>
            <w:top w:val="none" w:sz="0" w:space="0" w:color="auto"/>
            <w:left w:val="none" w:sz="0" w:space="0" w:color="auto"/>
            <w:bottom w:val="none" w:sz="0" w:space="0" w:color="auto"/>
            <w:right w:val="none" w:sz="0" w:space="0" w:color="auto"/>
          </w:divBdr>
        </w:div>
        <w:div w:id="2137986687">
          <w:marLeft w:val="1166"/>
          <w:marRight w:val="0"/>
          <w:marTop w:val="0"/>
          <w:marBottom w:val="0"/>
          <w:divBdr>
            <w:top w:val="none" w:sz="0" w:space="0" w:color="auto"/>
            <w:left w:val="none" w:sz="0" w:space="0" w:color="auto"/>
            <w:bottom w:val="none" w:sz="0" w:space="0" w:color="auto"/>
            <w:right w:val="none" w:sz="0" w:space="0" w:color="auto"/>
          </w:divBdr>
        </w:div>
        <w:div w:id="437024961">
          <w:marLeft w:val="1166"/>
          <w:marRight w:val="0"/>
          <w:marTop w:val="0"/>
          <w:marBottom w:val="0"/>
          <w:divBdr>
            <w:top w:val="none" w:sz="0" w:space="0" w:color="auto"/>
            <w:left w:val="none" w:sz="0" w:space="0" w:color="auto"/>
            <w:bottom w:val="none" w:sz="0" w:space="0" w:color="auto"/>
            <w:right w:val="none" w:sz="0" w:space="0" w:color="auto"/>
          </w:divBdr>
        </w:div>
        <w:div w:id="1421180202">
          <w:marLeft w:val="1166"/>
          <w:marRight w:val="0"/>
          <w:marTop w:val="0"/>
          <w:marBottom w:val="0"/>
          <w:divBdr>
            <w:top w:val="none" w:sz="0" w:space="0" w:color="auto"/>
            <w:left w:val="none" w:sz="0" w:space="0" w:color="auto"/>
            <w:bottom w:val="none" w:sz="0" w:space="0" w:color="auto"/>
            <w:right w:val="none" w:sz="0" w:space="0" w:color="auto"/>
          </w:divBdr>
        </w:div>
      </w:divsChild>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620975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23497100">
      <w:bodyDiv w:val="1"/>
      <w:marLeft w:val="0"/>
      <w:marRight w:val="0"/>
      <w:marTop w:val="0"/>
      <w:marBottom w:val="0"/>
      <w:divBdr>
        <w:top w:val="none" w:sz="0" w:space="0" w:color="auto"/>
        <w:left w:val="none" w:sz="0" w:space="0" w:color="auto"/>
        <w:bottom w:val="none" w:sz="0" w:space="0" w:color="auto"/>
        <w:right w:val="none" w:sz="0" w:space="0" w:color="auto"/>
      </w:divBdr>
      <w:divsChild>
        <w:div w:id="1164123638">
          <w:marLeft w:val="1166"/>
          <w:marRight w:val="0"/>
          <w:marTop w:val="0"/>
          <w:marBottom w:val="0"/>
          <w:divBdr>
            <w:top w:val="none" w:sz="0" w:space="0" w:color="auto"/>
            <w:left w:val="none" w:sz="0" w:space="0" w:color="auto"/>
            <w:bottom w:val="none" w:sz="0" w:space="0" w:color="auto"/>
            <w:right w:val="none" w:sz="0" w:space="0" w:color="auto"/>
          </w:divBdr>
        </w:div>
        <w:div w:id="1395009551">
          <w:marLeft w:val="1166"/>
          <w:marRight w:val="0"/>
          <w:marTop w:val="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927832">
      <w:bodyDiv w:val="1"/>
      <w:marLeft w:val="0"/>
      <w:marRight w:val="0"/>
      <w:marTop w:val="0"/>
      <w:marBottom w:val="0"/>
      <w:divBdr>
        <w:top w:val="none" w:sz="0" w:space="0" w:color="auto"/>
        <w:left w:val="none" w:sz="0" w:space="0" w:color="auto"/>
        <w:bottom w:val="none" w:sz="0" w:space="0" w:color="auto"/>
        <w:right w:val="none" w:sz="0" w:space="0" w:color="auto"/>
      </w:divBdr>
      <w:divsChild>
        <w:div w:id="453868762">
          <w:marLeft w:val="1166"/>
          <w:marRight w:val="0"/>
          <w:marTop w:val="0"/>
          <w:marBottom w:val="0"/>
          <w:divBdr>
            <w:top w:val="none" w:sz="0" w:space="0" w:color="auto"/>
            <w:left w:val="none" w:sz="0" w:space="0" w:color="auto"/>
            <w:bottom w:val="none" w:sz="0" w:space="0" w:color="auto"/>
            <w:right w:val="none" w:sz="0" w:space="0" w:color="auto"/>
          </w:divBdr>
        </w:div>
        <w:div w:id="1071543901">
          <w:marLeft w:val="1886"/>
          <w:marRight w:val="0"/>
          <w:marTop w:val="0"/>
          <w:marBottom w:val="0"/>
          <w:divBdr>
            <w:top w:val="none" w:sz="0" w:space="0" w:color="auto"/>
            <w:left w:val="none" w:sz="0" w:space="0" w:color="auto"/>
            <w:bottom w:val="none" w:sz="0" w:space="0" w:color="auto"/>
            <w:right w:val="none" w:sz="0" w:space="0" w:color="auto"/>
          </w:divBdr>
        </w:div>
        <w:div w:id="516114128">
          <w:marLeft w:val="2606"/>
          <w:marRight w:val="0"/>
          <w:marTop w:val="0"/>
          <w:marBottom w:val="0"/>
          <w:divBdr>
            <w:top w:val="none" w:sz="0" w:space="0" w:color="auto"/>
            <w:left w:val="none" w:sz="0" w:space="0" w:color="auto"/>
            <w:bottom w:val="none" w:sz="0" w:space="0" w:color="auto"/>
            <w:right w:val="none" w:sz="0" w:space="0" w:color="auto"/>
          </w:divBdr>
        </w:div>
        <w:div w:id="1814524165">
          <w:marLeft w:val="1886"/>
          <w:marRight w:val="0"/>
          <w:marTop w:val="0"/>
          <w:marBottom w:val="0"/>
          <w:divBdr>
            <w:top w:val="none" w:sz="0" w:space="0" w:color="auto"/>
            <w:left w:val="none" w:sz="0" w:space="0" w:color="auto"/>
            <w:bottom w:val="none" w:sz="0" w:space="0" w:color="auto"/>
            <w:right w:val="none" w:sz="0" w:space="0" w:color="auto"/>
          </w:divBdr>
        </w:div>
      </w:divsChild>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784731">
      <w:bodyDiv w:val="1"/>
      <w:marLeft w:val="0"/>
      <w:marRight w:val="0"/>
      <w:marTop w:val="0"/>
      <w:marBottom w:val="0"/>
      <w:divBdr>
        <w:top w:val="none" w:sz="0" w:space="0" w:color="auto"/>
        <w:left w:val="none" w:sz="0" w:space="0" w:color="auto"/>
        <w:bottom w:val="none" w:sz="0" w:space="0" w:color="auto"/>
        <w:right w:val="none" w:sz="0" w:space="0" w:color="auto"/>
      </w:divBdr>
      <w:divsChild>
        <w:div w:id="1424299182">
          <w:marLeft w:val="1166"/>
          <w:marRight w:val="0"/>
          <w:marTop w:val="0"/>
          <w:marBottom w:val="0"/>
          <w:divBdr>
            <w:top w:val="none" w:sz="0" w:space="0" w:color="auto"/>
            <w:left w:val="none" w:sz="0" w:space="0" w:color="auto"/>
            <w:bottom w:val="none" w:sz="0" w:space="0" w:color="auto"/>
            <w:right w:val="none" w:sz="0" w:space="0" w:color="auto"/>
          </w:divBdr>
        </w:div>
        <w:div w:id="131414046">
          <w:marLeft w:val="1886"/>
          <w:marRight w:val="0"/>
          <w:marTop w:val="0"/>
          <w:marBottom w:val="0"/>
          <w:divBdr>
            <w:top w:val="none" w:sz="0" w:space="0" w:color="auto"/>
            <w:left w:val="none" w:sz="0" w:space="0" w:color="auto"/>
            <w:bottom w:val="none" w:sz="0" w:space="0" w:color="auto"/>
            <w:right w:val="none" w:sz="0" w:space="0" w:color="auto"/>
          </w:divBdr>
        </w:div>
        <w:div w:id="326321974">
          <w:marLeft w:val="1886"/>
          <w:marRight w:val="0"/>
          <w:marTop w:val="0"/>
          <w:marBottom w:val="0"/>
          <w:divBdr>
            <w:top w:val="none" w:sz="0" w:space="0" w:color="auto"/>
            <w:left w:val="none" w:sz="0" w:space="0" w:color="auto"/>
            <w:bottom w:val="none" w:sz="0" w:space="0" w:color="auto"/>
            <w:right w:val="none" w:sz="0" w:space="0" w:color="auto"/>
          </w:divBdr>
        </w:div>
        <w:div w:id="1933196668">
          <w:marLeft w:val="1166"/>
          <w:marRight w:val="0"/>
          <w:marTop w:val="0"/>
          <w:marBottom w:val="0"/>
          <w:divBdr>
            <w:top w:val="none" w:sz="0" w:space="0" w:color="auto"/>
            <w:left w:val="none" w:sz="0" w:space="0" w:color="auto"/>
            <w:bottom w:val="none" w:sz="0" w:space="0" w:color="auto"/>
            <w:right w:val="none" w:sz="0" w:space="0" w:color="auto"/>
          </w:divBdr>
        </w:div>
        <w:div w:id="40443107">
          <w:marLeft w:val="1886"/>
          <w:marRight w:val="0"/>
          <w:marTop w:val="0"/>
          <w:marBottom w:val="0"/>
          <w:divBdr>
            <w:top w:val="none" w:sz="0" w:space="0" w:color="auto"/>
            <w:left w:val="none" w:sz="0" w:space="0" w:color="auto"/>
            <w:bottom w:val="none" w:sz="0" w:space="0" w:color="auto"/>
            <w:right w:val="none" w:sz="0" w:space="0" w:color="auto"/>
          </w:divBdr>
        </w:div>
        <w:div w:id="545069316">
          <w:marLeft w:val="1886"/>
          <w:marRight w:val="0"/>
          <w:marTop w:val="0"/>
          <w:marBottom w:val="0"/>
          <w:divBdr>
            <w:top w:val="none" w:sz="0" w:space="0" w:color="auto"/>
            <w:left w:val="none" w:sz="0" w:space="0" w:color="auto"/>
            <w:bottom w:val="none" w:sz="0" w:space="0" w:color="auto"/>
            <w:right w:val="none" w:sz="0" w:space="0" w:color="auto"/>
          </w:divBdr>
        </w:div>
        <w:div w:id="1175732593">
          <w:marLeft w:val="1886"/>
          <w:marRight w:val="0"/>
          <w:marTop w:val="0"/>
          <w:marBottom w:val="0"/>
          <w:divBdr>
            <w:top w:val="none" w:sz="0" w:space="0" w:color="auto"/>
            <w:left w:val="none" w:sz="0" w:space="0" w:color="auto"/>
            <w:bottom w:val="none" w:sz="0" w:space="0" w:color="auto"/>
            <w:right w:val="none" w:sz="0" w:space="0" w:color="auto"/>
          </w:divBdr>
        </w:div>
        <w:div w:id="1571229109">
          <w:marLeft w:val="1166"/>
          <w:marRight w:val="0"/>
          <w:marTop w:val="0"/>
          <w:marBottom w:val="0"/>
          <w:divBdr>
            <w:top w:val="none" w:sz="0" w:space="0" w:color="auto"/>
            <w:left w:val="none" w:sz="0" w:space="0" w:color="auto"/>
            <w:bottom w:val="none" w:sz="0" w:space="0" w:color="auto"/>
            <w:right w:val="none" w:sz="0" w:space="0" w:color="auto"/>
          </w:divBdr>
        </w:div>
        <w:div w:id="1625577359">
          <w:marLeft w:val="1886"/>
          <w:marRight w:val="0"/>
          <w:marTop w:val="0"/>
          <w:marBottom w:val="0"/>
          <w:divBdr>
            <w:top w:val="none" w:sz="0" w:space="0" w:color="auto"/>
            <w:left w:val="none" w:sz="0" w:space="0" w:color="auto"/>
            <w:bottom w:val="none" w:sz="0" w:space="0" w:color="auto"/>
            <w:right w:val="none" w:sz="0" w:space="0" w:color="auto"/>
          </w:divBdr>
        </w:div>
        <w:div w:id="705133322">
          <w:marLeft w:val="1886"/>
          <w:marRight w:val="0"/>
          <w:marTop w:val="0"/>
          <w:marBottom w:val="0"/>
          <w:divBdr>
            <w:top w:val="none" w:sz="0" w:space="0" w:color="auto"/>
            <w:left w:val="none" w:sz="0" w:space="0" w:color="auto"/>
            <w:bottom w:val="none" w:sz="0" w:space="0" w:color="auto"/>
            <w:right w:val="none" w:sz="0" w:space="0" w:color="auto"/>
          </w:divBdr>
        </w:div>
        <w:div w:id="821192019">
          <w:marLeft w:val="1166"/>
          <w:marRight w:val="0"/>
          <w:marTop w:val="0"/>
          <w:marBottom w:val="0"/>
          <w:divBdr>
            <w:top w:val="none" w:sz="0" w:space="0" w:color="auto"/>
            <w:left w:val="none" w:sz="0" w:space="0" w:color="auto"/>
            <w:bottom w:val="none" w:sz="0" w:space="0" w:color="auto"/>
            <w:right w:val="none" w:sz="0" w:space="0" w:color="auto"/>
          </w:divBdr>
        </w:div>
        <w:div w:id="1266770549">
          <w:marLeft w:val="1886"/>
          <w:marRight w:val="0"/>
          <w:marTop w:val="0"/>
          <w:marBottom w:val="0"/>
          <w:divBdr>
            <w:top w:val="none" w:sz="0" w:space="0" w:color="auto"/>
            <w:left w:val="none" w:sz="0" w:space="0" w:color="auto"/>
            <w:bottom w:val="none" w:sz="0" w:space="0" w:color="auto"/>
            <w:right w:val="none" w:sz="0" w:space="0" w:color="auto"/>
          </w:divBdr>
        </w:div>
        <w:div w:id="2053845832">
          <w:marLeft w:val="1886"/>
          <w:marRight w:val="0"/>
          <w:marTop w:val="0"/>
          <w:marBottom w:val="0"/>
          <w:divBdr>
            <w:top w:val="none" w:sz="0" w:space="0" w:color="auto"/>
            <w:left w:val="none" w:sz="0" w:space="0" w:color="auto"/>
            <w:bottom w:val="none" w:sz="0" w:space="0" w:color="auto"/>
            <w:right w:val="none" w:sz="0" w:space="0" w:color="auto"/>
          </w:divBdr>
        </w:div>
        <w:div w:id="217742648">
          <w:marLeft w:val="1886"/>
          <w:marRight w:val="0"/>
          <w:marTop w:val="0"/>
          <w:marBottom w:val="0"/>
          <w:divBdr>
            <w:top w:val="none" w:sz="0" w:space="0" w:color="auto"/>
            <w:left w:val="none" w:sz="0" w:space="0" w:color="auto"/>
            <w:bottom w:val="none" w:sz="0" w:space="0" w:color="auto"/>
            <w:right w:val="none" w:sz="0" w:space="0" w:color="auto"/>
          </w:divBdr>
        </w:div>
      </w:divsChild>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35019443">
      <w:bodyDiv w:val="1"/>
      <w:marLeft w:val="0"/>
      <w:marRight w:val="0"/>
      <w:marTop w:val="0"/>
      <w:marBottom w:val="0"/>
      <w:divBdr>
        <w:top w:val="none" w:sz="0" w:space="0" w:color="auto"/>
        <w:left w:val="none" w:sz="0" w:space="0" w:color="auto"/>
        <w:bottom w:val="none" w:sz="0" w:space="0" w:color="auto"/>
        <w:right w:val="none" w:sz="0" w:space="0" w:color="auto"/>
      </w:divBdr>
      <w:divsChild>
        <w:div w:id="697239910">
          <w:marLeft w:val="1166"/>
          <w:marRight w:val="0"/>
          <w:marTop w:val="0"/>
          <w:marBottom w:val="0"/>
          <w:divBdr>
            <w:top w:val="none" w:sz="0" w:space="0" w:color="auto"/>
            <w:left w:val="none" w:sz="0" w:space="0" w:color="auto"/>
            <w:bottom w:val="none" w:sz="0" w:space="0" w:color="auto"/>
            <w:right w:val="none" w:sz="0" w:space="0" w:color="auto"/>
          </w:divBdr>
        </w:div>
        <w:div w:id="260916442">
          <w:marLeft w:val="1166"/>
          <w:marRight w:val="0"/>
          <w:marTop w:val="0"/>
          <w:marBottom w:val="0"/>
          <w:divBdr>
            <w:top w:val="none" w:sz="0" w:space="0" w:color="auto"/>
            <w:left w:val="none" w:sz="0" w:space="0" w:color="auto"/>
            <w:bottom w:val="none" w:sz="0" w:space="0" w:color="auto"/>
            <w:right w:val="none" w:sz="0" w:space="0" w:color="auto"/>
          </w:divBdr>
        </w:div>
        <w:div w:id="538055914">
          <w:marLeft w:val="1166"/>
          <w:marRight w:val="0"/>
          <w:marTop w:val="0"/>
          <w:marBottom w:val="0"/>
          <w:divBdr>
            <w:top w:val="none" w:sz="0" w:space="0" w:color="auto"/>
            <w:left w:val="none" w:sz="0" w:space="0" w:color="auto"/>
            <w:bottom w:val="none" w:sz="0" w:space="0" w:color="auto"/>
            <w:right w:val="none" w:sz="0" w:space="0" w:color="auto"/>
          </w:divBdr>
        </w:div>
        <w:div w:id="1694266438">
          <w:marLeft w:val="1166"/>
          <w:marRight w:val="0"/>
          <w:marTop w:val="0"/>
          <w:marBottom w:val="0"/>
          <w:divBdr>
            <w:top w:val="none" w:sz="0" w:space="0" w:color="auto"/>
            <w:left w:val="none" w:sz="0" w:space="0" w:color="auto"/>
            <w:bottom w:val="none" w:sz="0" w:space="0" w:color="auto"/>
            <w:right w:val="none" w:sz="0" w:space="0" w:color="auto"/>
          </w:divBdr>
        </w:div>
        <w:div w:id="1462459310">
          <w:marLeft w:val="1166"/>
          <w:marRight w:val="0"/>
          <w:marTop w:val="0"/>
          <w:marBottom w:val="0"/>
          <w:divBdr>
            <w:top w:val="none" w:sz="0" w:space="0" w:color="auto"/>
            <w:left w:val="none" w:sz="0" w:space="0" w:color="auto"/>
            <w:bottom w:val="none" w:sz="0" w:space="0" w:color="auto"/>
            <w:right w:val="none" w:sz="0" w:space="0" w:color="auto"/>
          </w:divBdr>
        </w:div>
        <w:div w:id="289212269">
          <w:marLeft w:val="1166"/>
          <w:marRight w:val="0"/>
          <w:marTop w:val="0"/>
          <w:marBottom w:val="0"/>
          <w:divBdr>
            <w:top w:val="none" w:sz="0" w:space="0" w:color="auto"/>
            <w:left w:val="none" w:sz="0" w:space="0" w:color="auto"/>
            <w:bottom w:val="none" w:sz="0" w:space="0" w:color="auto"/>
            <w:right w:val="none" w:sz="0" w:space="0" w:color="auto"/>
          </w:divBdr>
        </w:div>
        <w:div w:id="67843730">
          <w:marLeft w:val="1166"/>
          <w:marRight w:val="0"/>
          <w:marTop w:val="0"/>
          <w:marBottom w:val="0"/>
          <w:divBdr>
            <w:top w:val="none" w:sz="0" w:space="0" w:color="auto"/>
            <w:left w:val="none" w:sz="0" w:space="0" w:color="auto"/>
            <w:bottom w:val="none" w:sz="0" w:space="0" w:color="auto"/>
            <w:right w:val="none" w:sz="0" w:space="0" w:color="auto"/>
          </w:divBdr>
        </w:div>
        <w:div w:id="2124499212">
          <w:marLeft w:val="1166"/>
          <w:marRight w:val="0"/>
          <w:marTop w:val="0"/>
          <w:marBottom w:val="0"/>
          <w:divBdr>
            <w:top w:val="none" w:sz="0" w:space="0" w:color="auto"/>
            <w:left w:val="none" w:sz="0" w:space="0" w:color="auto"/>
            <w:bottom w:val="none" w:sz="0" w:space="0" w:color="auto"/>
            <w:right w:val="none" w:sz="0" w:space="0" w:color="auto"/>
          </w:divBdr>
        </w:div>
      </w:divsChild>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63077161">
      <w:bodyDiv w:val="1"/>
      <w:marLeft w:val="0"/>
      <w:marRight w:val="0"/>
      <w:marTop w:val="0"/>
      <w:marBottom w:val="0"/>
      <w:divBdr>
        <w:top w:val="none" w:sz="0" w:space="0" w:color="auto"/>
        <w:left w:val="none" w:sz="0" w:space="0" w:color="auto"/>
        <w:bottom w:val="none" w:sz="0" w:space="0" w:color="auto"/>
        <w:right w:val="none" w:sz="0" w:space="0" w:color="auto"/>
      </w:divBdr>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06085937">
      <w:bodyDiv w:val="1"/>
      <w:marLeft w:val="0"/>
      <w:marRight w:val="0"/>
      <w:marTop w:val="0"/>
      <w:marBottom w:val="0"/>
      <w:divBdr>
        <w:top w:val="none" w:sz="0" w:space="0" w:color="auto"/>
        <w:left w:val="none" w:sz="0" w:space="0" w:color="auto"/>
        <w:bottom w:val="none" w:sz="0" w:space="0" w:color="auto"/>
        <w:right w:val="none" w:sz="0" w:space="0" w:color="auto"/>
      </w:divBdr>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 w:id="2128770621">
      <w:bodyDiv w:val="1"/>
      <w:marLeft w:val="0"/>
      <w:marRight w:val="0"/>
      <w:marTop w:val="0"/>
      <w:marBottom w:val="0"/>
      <w:divBdr>
        <w:top w:val="none" w:sz="0" w:space="0" w:color="auto"/>
        <w:left w:val="none" w:sz="0" w:space="0" w:color="auto"/>
        <w:bottom w:val="none" w:sz="0" w:space="0" w:color="auto"/>
        <w:right w:val="none" w:sz="0" w:space="0" w:color="auto"/>
      </w:divBdr>
      <w:divsChild>
        <w:div w:id="437335444">
          <w:marLeft w:val="1166"/>
          <w:marRight w:val="0"/>
          <w:marTop w:val="0"/>
          <w:marBottom w:val="0"/>
          <w:divBdr>
            <w:top w:val="none" w:sz="0" w:space="0" w:color="auto"/>
            <w:left w:val="none" w:sz="0" w:space="0" w:color="auto"/>
            <w:bottom w:val="none" w:sz="0" w:space="0" w:color="auto"/>
            <w:right w:val="none" w:sz="0" w:space="0" w:color="auto"/>
          </w:divBdr>
        </w:div>
        <w:div w:id="638192420">
          <w:marLeft w:val="1886"/>
          <w:marRight w:val="0"/>
          <w:marTop w:val="0"/>
          <w:marBottom w:val="0"/>
          <w:divBdr>
            <w:top w:val="none" w:sz="0" w:space="0" w:color="auto"/>
            <w:left w:val="none" w:sz="0" w:space="0" w:color="auto"/>
            <w:bottom w:val="none" w:sz="0" w:space="0" w:color="auto"/>
            <w:right w:val="none" w:sz="0" w:space="0" w:color="auto"/>
          </w:divBdr>
        </w:div>
        <w:div w:id="1543589864">
          <w:marLeft w:val="1886"/>
          <w:marRight w:val="0"/>
          <w:marTop w:val="0"/>
          <w:marBottom w:val="0"/>
          <w:divBdr>
            <w:top w:val="none" w:sz="0" w:space="0" w:color="auto"/>
            <w:left w:val="none" w:sz="0" w:space="0" w:color="auto"/>
            <w:bottom w:val="none" w:sz="0" w:space="0" w:color="auto"/>
            <w:right w:val="none" w:sz="0" w:space="0" w:color="auto"/>
          </w:divBdr>
        </w:div>
        <w:div w:id="183716053">
          <w:marLeft w:val="1166"/>
          <w:marRight w:val="0"/>
          <w:marTop w:val="0"/>
          <w:marBottom w:val="0"/>
          <w:divBdr>
            <w:top w:val="none" w:sz="0" w:space="0" w:color="auto"/>
            <w:left w:val="none" w:sz="0" w:space="0" w:color="auto"/>
            <w:bottom w:val="none" w:sz="0" w:space="0" w:color="auto"/>
            <w:right w:val="none" w:sz="0" w:space="0" w:color="auto"/>
          </w:divBdr>
        </w:div>
        <w:div w:id="1714229846">
          <w:marLeft w:val="1886"/>
          <w:marRight w:val="0"/>
          <w:marTop w:val="0"/>
          <w:marBottom w:val="0"/>
          <w:divBdr>
            <w:top w:val="none" w:sz="0" w:space="0" w:color="auto"/>
            <w:left w:val="none" w:sz="0" w:space="0" w:color="auto"/>
            <w:bottom w:val="none" w:sz="0" w:space="0" w:color="auto"/>
            <w:right w:val="none" w:sz="0" w:space="0" w:color="auto"/>
          </w:divBdr>
        </w:div>
        <w:div w:id="339897532">
          <w:marLeft w:val="1886"/>
          <w:marRight w:val="0"/>
          <w:marTop w:val="0"/>
          <w:marBottom w:val="0"/>
          <w:divBdr>
            <w:top w:val="none" w:sz="0" w:space="0" w:color="auto"/>
            <w:left w:val="none" w:sz="0" w:space="0" w:color="auto"/>
            <w:bottom w:val="none" w:sz="0" w:space="0" w:color="auto"/>
            <w:right w:val="none" w:sz="0" w:space="0" w:color="auto"/>
          </w:divBdr>
        </w:div>
        <w:div w:id="791823546">
          <w:marLeft w:val="1886"/>
          <w:marRight w:val="0"/>
          <w:marTop w:val="0"/>
          <w:marBottom w:val="0"/>
          <w:divBdr>
            <w:top w:val="none" w:sz="0" w:space="0" w:color="auto"/>
            <w:left w:val="none" w:sz="0" w:space="0" w:color="auto"/>
            <w:bottom w:val="none" w:sz="0" w:space="0" w:color="auto"/>
            <w:right w:val="none" w:sz="0" w:space="0" w:color="auto"/>
          </w:divBdr>
        </w:div>
        <w:div w:id="1060862361">
          <w:marLeft w:val="1166"/>
          <w:marRight w:val="0"/>
          <w:marTop w:val="0"/>
          <w:marBottom w:val="0"/>
          <w:divBdr>
            <w:top w:val="none" w:sz="0" w:space="0" w:color="auto"/>
            <w:left w:val="none" w:sz="0" w:space="0" w:color="auto"/>
            <w:bottom w:val="none" w:sz="0" w:space="0" w:color="auto"/>
            <w:right w:val="none" w:sz="0" w:space="0" w:color="auto"/>
          </w:divBdr>
        </w:div>
        <w:div w:id="741414654">
          <w:marLeft w:val="1886"/>
          <w:marRight w:val="0"/>
          <w:marTop w:val="0"/>
          <w:marBottom w:val="0"/>
          <w:divBdr>
            <w:top w:val="none" w:sz="0" w:space="0" w:color="auto"/>
            <w:left w:val="none" w:sz="0" w:space="0" w:color="auto"/>
            <w:bottom w:val="none" w:sz="0" w:space="0" w:color="auto"/>
            <w:right w:val="none" w:sz="0" w:space="0" w:color="auto"/>
          </w:divBdr>
        </w:div>
        <w:div w:id="74326765">
          <w:marLeft w:val="1886"/>
          <w:marRight w:val="0"/>
          <w:marTop w:val="0"/>
          <w:marBottom w:val="0"/>
          <w:divBdr>
            <w:top w:val="none" w:sz="0" w:space="0" w:color="auto"/>
            <w:left w:val="none" w:sz="0" w:space="0" w:color="auto"/>
            <w:bottom w:val="none" w:sz="0" w:space="0" w:color="auto"/>
            <w:right w:val="none" w:sz="0" w:space="0" w:color="auto"/>
          </w:divBdr>
        </w:div>
        <w:div w:id="265038811">
          <w:marLeft w:val="1166"/>
          <w:marRight w:val="0"/>
          <w:marTop w:val="0"/>
          <w:marBottom w:val="0"/>
          <w:divBdr>
            <w:top w:val="none" w:sz="0" w:space="0" w:color="auto"/>
            <w:left w:val="none" w:sz="0" w:space="0" w:color="auto"/>
            <w:bottom w:val="none" w:sz="0" w:space="0" w:color="auto"/>
            <w:right w:val="none" w:sz="0" w:space="0" w:color="auto"/>
          </w:divBdr>
        </w:div>
        <w:div w:id="1290626573">
          <w:marLeft w:val="1886"/>
          <w:marRight w:val="0"/>
          <w:marTop w:val="0"/>
          <w:marBottom w:val="0"/>
          <w:divBdr>
            <w:top w:val="none" w:sz="0" w:space="0" w:color="auto"/>
            <w:left w:val="none" w:sz="0" w:space="0" w:color="auto"/>
            <w:bottom w:val="none" w:sz="0" w:space="0" w:color="auto"/>
            <w:right w:val="none" w:sz="0" w:space="0" w:color="auto"/>
          </w:divBdr>
        </w:div>
        <w:div w:id="310063728">
          <w:marLeft w:val="1886"/>
          <w:marRight w:val="0"/>
          <w:marTop w:val="0"/>
          <w:marBottom w:val="0"/>
          <w:divBdr>
            <w:top w:val="none" w:sz="0" w:space="0" w:color="auto"/>
            <w:left w:val="none" w:sz="0" w:space="0" w:color="auto"/>
            <w:bottom w:val="none" w:sz="0" w:space="0" w:color="auto"/>
            <w:right w:val="none" w:sz="0" w:space="0" w:color="auto"/>
          </w:divBdr>
        </w:div>
        <w:div w:id="1274095368">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3.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6.xml><?xml version="1.0" encoding="utf-8"?>
<ds:datastoreItem xmlns:ds="http://schemas.openxmlformats.org/officeDocument/2006/customXml" ds:itemID="{DBA3B628-B907-4A71-9104-AA7C9D72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6</Pages>
  <Words>2454</Words>
  <Characters>13991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2020-04-09T11:09:00Z</dcterms:created>
  <dcterms:modified xsi:type="dcterms:W3CDTF">2020-04-09T11:09:00Z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